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Response to Reviewers</w:t>
      </w:r>
    </w:p>
    <w:p>
      <w:r>
        <w:rPr>
          <w:b/>
          <w:i w:val="0"/>
        </w:rPr>
        <w:t>IEEE Access Manuscript:</w:t>
      </w:r>
      <w:r>
        <w:rPr>
          <w:b w:val="0"/>
          <w:i w:val="0"/>
        </w:rPr>
        <w:t xml:space="preserve"> Access-2026-06416</w:t>
      </w:r>
    </w:p>
    <w:p>
      <w:r>
        <w:rPr>
          <w:b/>
          <w:i w:val="0"/>
        </w:rPr>
        <w:t>Title:</w:t>
      </w:r>
      <w:r>
        <w:rPr>
          <w:b w:val="0"/>
          <w:i w:val="0"/>
        </w:rPr>
        <w:t xml:space="preserve"> A Time-Aware Evaluation Framework for Real-Time GPS Spoofing Detection in UAV-Based Power System Monitoring</w:t>
      </w:r>
    </w:p>
    <w:p>
      <w:r>
        <w:rPr>
          <w:b/>
          <w:i w:val="0"/>
        </w:rPr>
        <w:t>Authors:</w:t>
      </w:r>
      <w:r>
        <w:rPr>
          <w:b w:val="0"/>
          <w:i w:val="0"/>
        </w:rPr>
        <w:t xml:space="preserve"> Bingye Zhang et al.</w:t>
      </w:r>
    </w:p>
    <w:p>
      <w:r>
        <w:rPr>
          <w:b/>
          <w:i w:val="0"/>
        </w:rPr>
        <w:t>Date:</w:t>
      </w:r>
      <w:r>
        <w:rPr>
          <w:b w:val="0"/>
          <w:i w:val="0"/>
        </w:rPr>
        <w:t xml:space="preserve"> May 2026</w:t>
      </w:r>
    </w:p>
    <w:p/>
    <w:p>
      <w:r>
        <w:rPr>
          <w:b w:val="0"/>
          <w:i w:val="0"/>
        </w:rPr>
        <w:t>The Associate Editor and all four reviewers raised substantive concerns that this revision addresses in full. We thank them for the careful reading.</w:t>
      </w:r>
    </w:p>
    <w:p>
      <w:r>
        <w:rPr>
          <w:b/>
          <w:sz w:val="28"/>
        </w:rPr>
        <w:t>Summary of major changes</w:t>
      </w:r>
    </w:p>
    <w:p>
      <w:pPr>
        <w:pStyle w:val="ListNumber"/>
      </w:pPr>
      <w:r>
        <w:rPr>
          <w:b/>
          <w:i w:val="0"/>
        </w:rPr>
        <w:t>Experimental foundation rebuilt.</w:t>
      </w:r>
      <w:r>
        <w:rPr>
          <w:b w:val="0"/>
          <w:i w:val="0"/>
        </w:rPr>
        <w:t xml:space="preserve"> The PX4 SITL dataset (209 flights, TimeGAN-contaminated) is replaced by 3,000 MATLAB UAV Toolbox flights (1,800 train / 600 val / 600 test; ≥229 attacked per split). TimeGAN augmentation is applied to the training split only; evaluation splits are strictly isolated from synthetic data.</w:t>
      </w:r>
    </w:p>
    <w:p>
      <w:pPr>
        <w:pStyle w:val="ListNumber"/>
      </w:pPr>
      <w:r>
        <w:rPr>
          <w:b/>
          <w:i w:val="0"/>
        </w:rPr>
        <w:t>Zero-shot real-world evaluation added (§V-G).</w:t>
      </w:r>
      <w:r>
        <w:rPr>
          <w:b w:val="0"/>
          <w:i w:val="0"/>
        </w:rPr>
        <w:t xml:space="preserve"> All MATLAB-trained checkpoints are evaluated without fine-tuning on the IEEE DataPort UAV Attack Dataset and the ALFA fixed-wing dataset.</w:t>
      </w:r>
    </w:p>
    <w:p>
      <w:pPr>
        <w:pStyle w:val="ListNumber"/>
      </w:pPr>
      <w:r>
        <w:rPr>
          <w:b/>
          <w:i w:val="0"/>
        </w:rPr>
        <w:t>5 seeds × 1,000-iteration bootstrap CI throughout (§V).</w:t>
      </w:r>
      <w:r>
        <w:rPr>
          <w:b w:val="0"/>
          <w:i w:val="0"/>
        </w:rPr>
        <w:t xml:space="preserve"> Every table column reports mean ± 95% CI; pairwise paired </w:t>
      </w:r>
      <w:r>
        <w:rPr>
          <w:b w:val="0"/>
          <w:i/>
        </w:rPr>
        <w:t>t</w:t>
      </w:r>
      <w:r>
        <w:rPr>
          <w:b w:val="0"/>
          <w:i w:val="0"/>
        </w:rPr>
        <w:t>-tests with Bonferroni correction are reported for DR@5s.</w:t>
      </w:r>
    </w:p>
    <w:p>
      <w:pPr>
        <w:pStyle w:val="ListNumber"/>
      </w:pPr>
      <w:r>
        <w:rPr>
          <w:b/>
          <w:i w:val="0"/>
        </w:rPr>
        <w:t>Ablation studies added (§V-D).</w:t>
      </w:r>
      <w:r>
        <w:rPr>
          <w:b w:val="0"/>
          <w:i w:val="0"/>
        </w:rPr>
        <w:t xml:space="preserve"> Window size </w:t>
      </w:r>
      <w:r>
        <w:rPr>
          <w:b w:val="0"/>
          <w:i/>
        </w:rPr>
        <w:t>L</w:t>
      </w:r>
      <w:r>
        <w:rPr>
          <w:b w:val="0"/>
          <w:i w:val="0"/>
        </w:rPr>
        <w:t xml:space="preserve"> ∈ {30, 50, 80}, step size </w:t>
      </w:r>
      <w:r>
        <w:rPr>
          <w:b w:val="0"/>
          <w:i/>
        </w:rPr>
        <w:t>S</w:t>
      </w:r>
      <w:r>
        <w:rPr>
          <w:b w:val="0"/>
          <w:i w:val="0"/>
        </w:rPr>
        <w:t xml:space="preserve"> ∈ {3, 5, 10}, and threshold sensitivity are reported; per-attack-type performance is in §V-E.</w:t>
      </w:r>
    </w:p>
    <w:p>
      <w:pPr>
        <w:pStyle w:val="ListNumber"/>
      </w:pPr>
      <w:r>
        <w:rPr>
          <w:b/>
          <w:i w:val="0"/>
        </w:rPr>
        <w:t>Framework novelty distinguished from prior work (§III-D).</w:t>
      </w:r>
      <w:r>
        <w:rPr>
          <w:b w:val="0"/>
          <w:i w:val="0"/>
        </w:rPr>
        <w:t xml:space="preserve"> A new subsection separates our contributions from Tatbul et al., NAB, and classical IDS metrics on four axes.</w:t>
      </w:r>
    </w:p>
    <w:p>
      <w:pPr>
        <w:pStyle w:val="ListNumber"/>
      </w:pPr>
      <w:r>
        <w:rPr>
          <w:b/>
          <w:i w:val="0"/>
        </w:rPr>
        <w:t>Deployability thresholds rederived from UAV risk analysis (§IV-E).</w:t>
      </w:r>
      <w:r>
        <w:rPr>
          <w:b w:val="0"/>
          <w:i w:val="0"/>
        </w:rPr>
        <w:t xml:space="preserve"> DR@5s ≥ 85% is now derived from speed × time → displacement → GB 26860-2011 safety distance; domain analogies are retained only as supporting evidence.</w:t>
      </w:r>
    </w:p>
    <w:p>
      <w:pPr>
        <w:pStyle w:val="ListNumber"/>
      </w:pPr>
      <w:r>
        <w:rPr>
          <w:b/>
          <w:i w:val="0"/>
        </w:rPr>
        <w:t>Notation table and FP aggregation example added (§III).</w:t>
      </w:r>
    </w:p>
    <w:p>
      <w:pPr>
        <w:pStyle w:val="ListNumber"/>
      </w:pPr>
      <w:r>
        <w:rPr>
          <w:b/>
          <w:i w:val="0"/>
        </w:rPr>
        <w:t>§V reframed as Case Study; §VI (Discussion) added</w:t>
      </w:r>
      <w:r>
        <w:rPr>
          <w:b w:val="0"/>
          <w:i w:val="0"/>
        </w:rPr>
        <w:t xml:space="preserve"> with subsections §VI-A (Generality), §VI-B (Cross-Distribution Evaluation), §VI-C (Limitations and Future Work).</w:t>
      </w:r>
    </w:p>
    <w:p>
      <w:pPr>
        <w:pStyle w:val="ListNumber"/>
      </w:pPr>
      <w:r>
        <w:rPr>
          <w:b/>
          <w:i w:val="0"/>
        </w:rPr>
        <w:t>References cleaned up.</w:t>
      </w:r>
      <w:r>
        <w:rPr>
          <w:b w:val="0"/>
          <w:i w:val="0"/>
        </w:rPr>
        <w:t xml:space="preserve"> ref27, ref31, ref33 removed; ref30 and ref32 retained with full bibliographic detail; ref34 (Alhoraibi et al. </w:t>
      </w:r>
      <w:r>
        <w:rPr>
          <w:b w:val="0"/>
          <w:i/>
        </w:rPr>
        <w:t>Sensors</w:t>
      </w:r>
      <w:r>
        <w:rPr>
          <w:b w:val="0"/>
          <w:i w:val="0"/>
        </w:rPr>
        <w:t xml:space="preserve"> 2024), ref35 (Niu et al. </w:t>
      </w:r>
      <w:r>
        <w:rPr>
          <w:b w:val="0"/>
          <w:i/>
        </w:rPr>
        <w:t>Adv. Space Res.</w:t>
      </w:r>
      <w:r>
        <w:rPr>
          <w:b w:val="0"/>
          <w:i w:val="0"/>
        </w:rPr>
        <w:t xml:space="preserve"> 2024), ref36, ref38 added.</w:t>
      </w:r>
    </w:p>
    <w:p>
      <w:r>
        <w:rPr>
          <w:b w:val="0"/>
          <w:i w:val="0"/>
        </w:rPr>
        <w:t>All changes are highlighted in yellow in the attached revision PDF.</w:t>
      </w:r>
    </w:p>
    <w:p/>
    <w:p>
      <w:r>
        <w:rPr>
          <w:b/>
          <w:sz w:val="28"/>
        </w:rPr>
        <w:t>Reviewer 1</w:t>
      </w:r>
    </w:p>
    <w:p>
      <w:r>
        <w:rPr>
          <w:b/>
          <w:color w:val="B43C3C"/>
          <w:sz w:val="24"/>
        </w:rPr>
        <w:t>[Reviewer 1, Comment 1]</w:t>
      </w:r>
    </w:p>
    <w:p>
      <w:pPr>
        <w:ind w:left="454"/>
      </w:pPr>
      <w:r>
        <w:rPr>
          <w:b w:val="0"/>
          <w:i/>
        </w:rPr>
        <w:t>"The test dataset is contaminated by TimeGAN augmentation. TimeGAN is trained on the entire 209-flight dataset before splitting, violating evaluation independence. This fundamentally undermines the reported results."</w:t>
      </w:r>
    </w:p>
    <w:p>
      <w:r>
        <w:rPr>
          <w:b/>
          <w:i w:val="0"/>
        </w:rPr>
        <w:t>Response:</w:t>
      </w:r>
      <w:r>
        <w:rPr>
          <w:b w:val="0"/>
          <w:i w:val="0"/>
        </w:rPr>
        <w:t xml:space="preserve"> The reviewer's diagnosis is correct. The experimental foundation has been completely rebuilt. The new primary dataset is generated by the MATLAB UAV Toolbox (3,000 independent flights; §IV-A) under a strict train-only augmentation policy: the test set (600 flights, 229 attacked) receives no augmentation of any kind. The PX4 SITL dataset and all results derived from it have been removed. §IV-A documents the isolation guarantee; the released codebase includes a runtime assertion that prevents any augmented flight ID from appearing in validation or test splits.</w:t>
      </w:r>
    </w:p>
    <w:p>
      <w:r>
        <w:rPr>
          <w:b/>
          <w:i w:val="0"/>
          <w:color w:val="0064B4"/>
        </w:rPr>
        <w:t>Action:</w:t>
      </w:r>
      <w:r>
        <w:rPr>
          <w:b w:val="0"/>
          <w:i w:val="0"/>
          <w:color w:val="0064B4"/>
        </w:rPr>
        <w:t xml:space="preserve"> §IV-A completely rewritten; augmentation-isolation guarantee documented in §IV-A prose. Old Table I (TimeGAN configuration) removed.</w:t>
      </w:r>
    </w:p>
    <w:p>
      <w:r>
        <w:rPr>
          <w:b/>
          <w:color w:val="B43C3C"/>
          <w:sz w:val="24"/>
        </w:rPr>
        <w:t>[Reviewer 1, Comment 2]</w:t>
      </w:r>
    </w:p>
    <w:p>
      <w:pPr>
        <w:ind w:left="454"/>
      </w:pPr>
      <w:r>
        <w:rPr>
          <w:b w:val="0"/>
          <w:i/>
        </w:rPr>
        <w:t>"Only 17 attack instances in the test set is insufficient to support statistical conclusions for deep-learning baselines."</w:t>
      </w:r>
    </w:p>
    <w:p>
      <w:r>
        <w:rPr>
          <w:b/>
          <w:i w:val="0"/>
        </w:rPr>
        <w:t>Response:</w:t>
      </w:r>
      <w:r>
        <w:rPr>
          <w:b w:val="0"/>
          <w:i w:val="0"/>
        </w:rPr>
        <w:t xml:space="preserve"> The new test set contains 229 attacked flights (step / drift / delay / takeover in roughly equal proportion), corresponding to approximately 3,400 attacked windows among 69,636 total test windows — more than 13× the original count. All metrics are reported as mean ± 95% CI over 5 independent random seeds (1,000-iteration percentile bootstrap).</w:t>
      </w:r>
    </w:p>
    <w:p>
      <w:r>
        <w:rPr>
          <w:b/>
          <w:i w:val="0"/>
          <w:color w:val="0064B4"/>
        </w:rPr>
        <w:t>Action:</w:t>
      </w:r>
      <w:r>
        <w:rPr>
          <w:b w:val="0"/>
          <w:i w:val="0"/>
          <w:color w:val="0064B4"/>
        </w:rPr>
        <w:t xml:space="preserve"> Dataset scale documented in Table I (§IV-A). All result tables regenerated with CI columns.</w:t>
      </w:r>
    </w:p>
    <w:p>
      <w:r>
        <w:rPr>
          <w:b/>
          <w:color w:val="B43C3C"/>
          <w:sz w:val="24"/>
        </w:rPr>
        <w:t>[Reviewer 1, Comment 3]</w:t>
      </w:r>
    </w:p>
    <w:p>
      <w:pPr>
        <w:ind w:left="454"/>
      </w:pPr>
      <w:r>
        <w:rPr>
          <w:b w:val="0"/>
          <w:i/>
        </w:rPr>
        <w:t>"No real-world data. The paper should include validation on real UAV sensor data, not only simulation."</w:t>
      </w:r>
    </w:p>
    <w:p>
      <w:r>
        <w:rPr>
          <w:b/>
          <w:i w:val="0"/>
        </w:rPr>
        <w:t>Response:</w:t>
      </w:r>
      <w:r>
        <w:rPr>
          <w:b w:val="0"/>
          <w:i w:val="0"/>
        </w:rPr>
        <w:t xml:space="preserve"> §V-G adds a zero-shot cross-distribution evaluation covering three sources: (i) IEEE DataPort UAV Attack Dataset live hardware flights (Holybro S500 + HackRF GPS spoofing; jamming flight excluded to match the detector's label space), (ii) IEEE DataPort PX4 SITL flights across four airframes (PLANE / VTOL / TAIL / H480), and (iii) the ALFA Carbon-Z fixed-wing dataset (CMU AirLab; parameterised synthetic step spoofing injected on no-failure segments). All MATLAB-trained checkpoints are evaluated zero-shot without fine-tuning. This evaluation is framed explicitly as a </w:t>
      </w:r>
      <w:r>
        <w:rPr>
          <w:b/>
          <w:i w:val="0"/>
        </w:rPr>
        <w:t>zero-shot cross-distribution stress test</w:t>
      </w:r>
      <w:r>
        <w:rPr>
          <w:b w:val="0"/>
          <w:i w:val="0"/>
        </w:rPr>
        <w:t>, not matched-platform deployment validation: the three sources differ from the training distribution along multiple axes simultaneously (vehicle airframe, cruise speed, sensor noise statistics, attack mechanism). Two findings emerge: in-distribution architecture ranking is not preserved across distributions — CNN-LSTM (in-distribution DR@5s = 0.958) drops to 0.200 on the live HackRF data — and precision collapses uniformly to 0.38–0.42 on the live data across all architectures. §V-H then isolates the platform-speed-matching axis specifically (see response to Reviewer 3, Comment 5).</w:t>
      </w:r>
    </w:p>
    <w:p>
      <w:r>
        <w:rPr>
          <w:b/>
          <w:i w:val="0"/>
          <w:color w:val="0064B4"/>
        </w:rPr>
        <w:t>Action:</w:t>
      </w:r>
      <w:r>
        <w:rPr>
          <w:b w:val="0"/>
          <w:i w:val="0"/>
          <w:color w:val="0064B4"/>
        </w:rPr>
        <w:t xml:space="preserve"> §V-G (cross-distribution evaluation, three sources) + §V-H (controlled platform-matching experiment) + Fig. </w:t>
      </w:r>
      <w:r>
        <w:rPr>
          <w:rFonts w:ascii="Consolas" w:hAnsi="Consolas"/>
        </w:rPr>
        <w:t>fig_cross_domain_dr5_original.pdf</w:t>
      </w:r>
      <w:r>
        <w:rPr>
          <w:b w:val="0"/>
          <w:i w:val="0"/>
          <w:color w:val="0064B4"/>
        </w:rPr>
        <w:t xml:space="preserve"> + Fig. </w:t>
      </w:r>
      <w:r>
        <w:rPr>
          <w:rFonts w:ascii="Consolas" w:hAnsi="Consolas"/>
        </w:rPr>
        <w:t>fig_alfa_controlled_dr5.pdf</w:t>
      </w:r>
      <w:r>
        <w:rPr>
          <w:b w:val="0"/>
          <w:i w:val="0"/>
          <w:color w:val="0064B4"/>
        </w:rPr>
        <w:t xml:space="preserve"> + Table </w:t>
      </w:r>
      <w:r>
        <w:rPr>
          <w:rFonts w:ascii="Consolas" w:hAnsi="Consolas"/>
        </w:rPr>
        <w:t>tab:cross-domain-summary</w:t>
      </w:r>
      <w:r>
        <w:rPr>
          <w:b w:val="0"/>
          <w:i w:val="0"/>
          <w:color w:val="0064B4"/>
        </w:rPr>
        <w:t xml:space="preserve"> + Table </w:t>
      </w:r>
      <w:r>
        <w:rPr>
          <w:rFonts w:ascii="Consolas" w:hAnsi="Consolas"/>
        </w:rPr>
        <w:t>tab:alfa-controlled</w:t>
      </w:r>
      <w:r>
        <w:rPr>
          <w:b w:val="0"/>
          <w:i w:val="0"/>
          <w:color w:val="0064B4"/>
        </w:rPr>
        <w:t xml:space="preserve"> added. §VI-C (Limitations) explicitly disclaims strict sim-to-real scope.</w:t>
      </w:r>
    </w:p>
    <w:p>
      <w:r>
        <w:rPr>
          <w:b/>
          <w:color w:val="B43C3C"/>
          <w:sz w:val="24"/>
        </w:rPr>
        <w:t>[Reviewer 1, Comment 4]</w:t>
      </w:r>
    </w:p>
    <w:p>
      <w:pPr>
        <w:ind w:left="454"/>
      </w:pPr>
      <w:r>
        <w:rPr>
          <w:b w:val="0"/>
          <w:i/>
        </w:rPr>
        <w:t>"The threshold values (DR@5s ≥ 85%, MTBFA ≥ 0.1 h) are justified by analogy to medical and industrial standards, not UAV-specific evidence."</w:t>
      </w:r>
    </w:p>
    <w:p>
      <w:r>
        <w:rPr>
          <w:b/>
          <w:i w:val="0"/>
        </w:rPr>
        <w:t>Response:</w:t>
      </w:r>
      <w:r>
        <w:rPr>
          <w:b w:val="0"/>
          <w:i w:val="0"/>
        </w:rPr>
        <w:t xml:space="preserve"> §IV-E has been rewritten with risk-based derivation as the primary argument. At a cruise speed of 5 m/s and a 5-second detection budget, a spoofed UAV drifts 25 m; adding 1 s mitigation latency gives 30 m total displacement. GB 26860-2011 specifies a 5 m safe-approach distance to 500 kV lines against a 35 m planned standoff, leaving a 30 m abort margin. DR@5s ≥ 85% means at least 85% of attacks are caught before this margin is exhausted. The MTBFA ≥ 0.1 h threshold follows from a ≤10 nuisance-alarm budget per 1-hour inspection tour (Axelsson [ref10]). Medical/industrial analogies from ISO 11064-5 [ref32] are retained only as supporting evidence.</w:t>
      </w:r>
    </w:p>
    <w:p>
      <w:r>
        <w:rPr>
          <w:b/>
          <w:i w:val="0"/>
          <w:color w:val="0064B4"/>
        </w:rPr>
        <w:t>Action:</w:t>
      </w:r>
      <w:r>
        <w:rPr>
          <w:b w:val="0"/>
          <w:i w:val="0"/>
          <w:color w:val="0064B4"/>
        </w:rPr>
        <w:t xml:space="preserve"> §IV-E substantially rewritten with the risk equation and GB 26860-2011 citation as the primary basis. Domain-analogy references demoted to supporting evidence.</w:t>
      </w:r>
    </w:p>
    <w:p>
      <w:r>
        <w:rPr>
          <w:b/>
          <w:color w:val="B43C3C"/>
          <w:sz w:val="24"/>
        </w:rPr>
        <w:t>[Reviewer 1, Comment 5]</w:t>
      </w:r>
    </w:p>
    <w:p>
      <w:pPr>
        <w:ind w:left="454"/>
      </w:pPr>
      <w:r>
        <w:rPr>
          <w:b w:val="0"/>
          <w:i/>
        </w:rPr>
        <w:t>"No confidence intervals or significance testing for comparison claims."</w:t>
      </w:r>
    </w:p>
    <w:p>
      <w:r>
        <w:rPr>
          <w:b/>
          <w:i w:val="0"/>
        </w:rPr>
        <w:t>Response:</w:t>
      </w:r>
      <w:r>
        <w:rPr>
          <w:b w:val="0"/>
          <w:i w:val="0"/>
        </w:rPr>
        <w:t xml:space="preserve"> All metrics are now reported as mean ± 95% CI (1,000-iteration percentile bootstrap over 5 seeds). Pairwise paired </w:t>
      </w:r>
      <w:r>
        <w:rPr>
          <w:b w:val="0"/>
          <w:i/>
        </w:rPr>
        <w:t>t</w:t>
      </w:r>
      <w:r>
        <w:rPr>
          <w:b w:val="0"/>
          <w:i w:val="0"/>
        </w:rPr>
        <w:t>-tests with Bonferroni correction (α-adjusted for C(7,2) = 21 comparisons) are reported for DR@5s; significant pairs are marked in the tables.</w:t>
      </w:r>
    </w:p>
    <w:p>
      <w:r>
        <w:rPr>
          <w:b/>
          <w:i w:val="0"/>
          <w:color w:val="0064B4"/>
        </w:rPr>
        <w:t>Action:</w:t>
      </w:r>
      <w:r>
        <w:rPr>
          <w:b w:val="0"/>
          <w:i w:val="0"/>
          <w:color w:val="0064B4"/>
        </w:rPr>
        <w:t xml:space="preserve"> Statistical methods described in §IV-D. All tables regenerated. Pairwise test table (Table </w:t>
      </w:r>
      <w:r>
        <w:rPr>
          <w:rFonts w:ascii="Consolas" w:hAnsi="Consolas"/>
        </w:rPr>
        <w:t>tab:pairwise</w:t>
      </w:r>
      <w:r>
        <w:rPr>
          <w:b w:val="0"/>
          <w:i w:val="0"/>
          <w:color w:val="0064B4"/>
        </w:rPr>
        <w:t>) added.</w:t>
      </w:r>
    </w:p>
    <w:p>
      <w:r>
        <w:rPr>
          <w:b/>
          <w:color w:val="B43C3C"/>
          <w:sz w:val="24"/>
        </w:rPr>
        <w:t>[Reviewer 1, Comment 6]</w:t>
      </w:r>
    </w:p>
    <w:p>
      <w:pPr>
        <w:ind w:left="454"/>
      </w:pPr>
      <w:r>
        <w:rPr>
          <w:b w:val="0"/>
          <w:i/>
        </w:rPr>
        <w:t>"No ablation study on window size or step size."</w:t>
      </w:r>
    </w:p>
    <w:p>
      <w:r>
        <w:rPr>
          <w:b/>
          <w:i w:val="0"/>
        </w:rPr>
        <w:t>Response:</w:t>
      </w:r>
      <w:r>
        <w:rPr>
          <w:b w:val="0"/>
          <w:i w:val="0"/>
        </w:rPr>
        <w:t xml:space="preserve"> Window size </w:t>
      </w:r>
      <w:r>
        <w:rPr>
          <w:b w:val="0"/>
          <w:i/>
        </w:rPr>
        <w:t>L</w:t>
      </w:r>
      <w:r>
        <w:rPr>
          <w:b w:val="0"/>
          <w:i w:val="0"/>
        </w:rPr>
        <w:t xml:space="preserve"> ∈ {30, 50, 80} and step size </w:t>
      </w:r>
      <w:r>
        <w:rPr>
          <w:b w:val="0"/>
          <w:i/>
        </w:rPr>
        <w:t>S</w:t>
      </w:r>
      <w:r>
        <w:rPr>
          <w:b w:val="0"/>
          <w:i w:val="0"/>
        </w:rPr>
        <w:t xml:space="preserve"> ∈ {3, 5, 10} are swept on GRU (3 seeds each) and reported in §V-D as Table </w:t>
      </w:r>
      <w:r>
        <w:rPr>
          <w:rFonts w:ascii="Consolas" w:hAnsi="Consolas"/>
        </w:rPr>
        <w:t>tab:window-step-dr5</w:t>
      </w:r>
      <w:r>
        <w:rPr>
          <w:b w:val="0"/>
          <w:i w:val="0"/>
        </w:rPr>
        <w:t xml:space="preserve"> and Fig. </w:t>
      </w:r>
      <w:r>
        <w:rPr>
          <w:rFonts w:ascii="Consolas" w:hAnsi="Consolas"/>
        </w:rPr>
        <w:t>fig_window_step_dr5_heatmap.pdf</w:t>
      </w:r>
      <w:r>
        <w:rPr>
          <w:b w:val="0"/>
          <w:i w:val="0"/>
        </w:rPr>
        <w:t xml:space="preserve"> (9 configurations). DR@5s ranges only 0.924–0.965 across the entire grid, confirming that architectural conclusions are not artifacts of windowing choices. The threshold-sensitivity paragraph in §V-D reports that at p = 0.5 all architectures' MTBFA falls in 0.016–0.043 h, establishing that the deployability gap is structural.</w:t>
      </w:r>
    </w:p>
    <w:p>
      <w:r>
        <w:rPr>
          <w:b/>
          <w:i w:val="0"/>
          <w:color w:val="0064B4"/>
        </w:rPr>
        <w:t>Action:</w:t>
      </w:r>
      <w:r>
        <w:rPr>
          <w:b w:val="0"/>
          <w:i w:val="0"/>
          <w:color w:val="0064B4"/>
        </w:rPr>
        <w:t xml:space="preserve"> §V-D (Robustness Analysis) added; window/step heatmap figure added.</w:t>
      </w:r>
    </w:p>
    <w:p>
      <w:r>
        <w:rPr>
          <w:b/>
          <w:color w:val="B43C3C"/>
          <w:sz w:val="24"/>
        </w:rPr>
        <w:t>[Reviewer 1, Comment 7]</w:t>
      </w:r>
    </w:p>
    <w:p>
      <w:pPr>
        <w:ind w:left="454"/>
      </w:pPr>
      <w:r>
        <w:rPr>
          <w:b w:val="0"/>
          <w:i/>
        </w:rPr>
        <w:t>"References 27, 30, 31, 32, 33 are non-standard or missing DOIs."</w:t>
      </w:r>
    </w:p>
    <w:p>
      <w:r>
        <w:rPr>
          <w:b/>
          <w:i w:val="0"/>
        </w:rPr>
        <w:t>Response:</w:t>
      </w:r>
      <w:r>
        <w:rPr>
          <w:b w:val="0"/>
          <w:i w:val="0"/>
        </w:rPr>
        <w:t xml:space="preserve"> ref27 (NHS guidance) and ref33 (EEMUA 191) were removed: the medical/industrial analogies they supported are no longer the primary basis for deployability thresholds, which are now derived from UAV-specific risk constraints (§IV-E). ref31 (PX4 documentation) was removed when the experimental foundation switched from PX4 SITL to the MATLAB UAV Toolbox pipeline. ref30 (GB 26860-2011) is retained as the load-bearing safety-distance citation with full publisher and SAC URL. ref32 (ISO 11064-5:2008) is retained as a single supporting-analogy citation with full bibliographic detail and a publicly accessible URL.</w:t>
      </w:r>
    </w:p>
    <w:p>
      <w:r>
        <w:rPr>
          <w:b/>
          <w:i w:val="0"/>
          <w:color w:val="0064B4"/>
        </w:rPr>
        <w:t>Action:</w:t>
      </w:r>
      <w:r>
        <w:rPr>
          <w:b w:val="0"/>
          <w:i w:val="0"/>
          <w:color w:val="0064B4"/>
        </w:rPr>
        <w:t xml:space="preserve"> ref27, ref31, ref33 removed; ref30 and ref32 retained with complete bibliographic detail; ref34 (Alhoraibi et al. </w:t>
      </w:r>
      <w:r>
        <w:rPr>
          <w:b w:val="0"/>
          <w:i/>
          <w:color w:val="0064B4"/>
        </w:rPr>
        <w:t>Sensors</w:t>
      </w:r>
      <w:r>
        <w:rPr>
          <w:b w:val="0"/>
          <w:i w:val="0"/>
          <w:color w:val="0064B4"/>
        </w:rPr>
        <w:t xml:space="preserve"> 2024), ref35 (Niu et al. </w:t>
      </w:r>
      <w:r>
        <w:rPr>
          <w:b w:val="0"/>
          <w:i/>
          <w:color w:val="0064B4"/>
        </w:rPr>
        <w:t>Adv. Space Res.</w:t>
      </w:r>
      <w:r>
        <w:rPr>
          <w:b w:val="0"/>
          <w:i w:val="0"/>
          <w:color w:val="0064B4"/>
        </w:rPr>
        <w:t xml:space="preserve"> 2024), ref36, and ref38 added.</w:t>
      </w:r>
    </w:p>
    <w:p/>
    <w:p>
      <w:r>
        <w:rPr>
          <w:b/>
          <w:sz w:val="28"/>
        </w:rPr>
        <w:t>Reviewer 2</w:t>
      </w:r>
    </w:p>
    <w:p>
      <w:r>
        <w:rPr>
          <w:b/>
          <w:color w:val="B43C3C"/>
          <w:sz w:val="24"/>
        </w:rPr>
        <w:t>[Reviewer 2, Comment 1]</w:t>
      </w:r>
    </w:p>
    <w:p>
      <w:pPr>
        <w:ind w:left="454"/>
      </w:pPr>
      <w:r>
        <w:rPr>
          <w:b w:val="0"/>
          <w:i/>
        </w:rPr>
        <w:t>"The notation is inconsistent across sections. A unified notation table would help clarity."</w:t>
      </w:r>
    </w:p>
    <w:p>
      <w:r>
        <w:rPr>
          <w:b/>
          <w:i w:val="0"/>
        </w:rPr>
        <w:t>Response:</w:t>
      </w:r>
      <w:r>
        <w:rPr>
          <w:b w:val="0"/>
          <w:i w:val="0"/>
        </w:rPr>
        <w:t xml:space="preserve"> Table </w:t>
      </w:r>
      <w:r>
        <w:rPr>
          <w:rFonts w:ascii="Consolas" w:hAnsi="Consolas"/>
        </w:rPr>
        <w:t>tab:notation</w:t>
      </w:r>
      <w:r>
        <w:rPr>
          <w:b w:val="0"/>
          <w:i w:val="0"/>
        </w:rPr>
        <w:t xml:space="preserve"> (§III) now lists all symbols τ_k, t_s, t_d, Δt, L, S, f_s, K, N, F with their definitions and units. This table is the single authoritative reference for all notation used in the framework and case-study sections.</w:t>
      </w:r>
    </w:p>
    <w:p>
      <w:r>
        <w:rPr>
          <w:b/>
          <w:i w:val="0"/>
          <w:color w:val="0064B4"/>
        </w:rPr>
        <w:t>Action:</w:t>
      </w:r>
      <w:r>
        <w:rPr>
          <w:b w:val="0"/>
          <w:i w:val="0"/>
          <w:color w:val="0064B4"/>
        </w:rPr>
        <w:t xml:space="preserve"> Table </w:t>
      </w:r>
      <w:r>
        <w:rPr>
          <w:rFonts w:ascii="Consolas" w:hAnsi="Consolas"/>
        </w:rPr>
        <w:t>tab:notation</w:t>
      </w:r>
      <w:r>
        <w:rPr>
          <w:b w:val="0"/>
          <w:i w:val="0"/>
          <w:color w:val="0064B4"/>
        </w:rPr>
        <w:t xml:space="preserve"> added in §III.</w:t>
      </w:r>
    </w:p>
    <w:p>
      <w:r>
        <w:rPr>
          <w:b/>
          <w:color w:val="B43C3C"/>
          <w:sz w:val="24"/>
        </w:rPr>
        <w:t>[Reviewer 2, Comment 2]</w:t>
      </w:r>
    </w:p>
    <w:p>
      <w:pPr>
        <w:ind w:left="454"/>
      </w:pPr>
      <w:r>
        <w:rPr>
          <w:b w:val="0"/>
          <w:i/>
        </w:rPr>
        <w:t>"The FP event aggregation mechanism is not illustrated with a concrete example."</w:t>
      </w:r>
    </w:p>
    <w:p>
      <w:r>
        <w:rPr>
          <w:b/>
          <w:i w:val="0"/>
        </w:rPr>
        <w:t>Response:</w:t>
      </w:r>
      <w:r>
        <w:rPr>
          <w:b w:val="0"/>
          <w:i w:val="0"/>
        </w:rPr>
        <w:t xml:space="preserve"> §III-B-2 now contains (a) a full algorithmic specification of the rising-edge counting logic; (b) a concrete numerical worked example — Detector A: 100 FP windows → 10 events, MTBFA = 0.2 h; Detector B: 200 FP windows → 5 events, MTBFA = 0.4 h — in Table </w:t>
      </w:r>
      <w:r>
        <w:rPr>
          <w:rFonts w:ascii="Consolas" w:hAnsi="Consolas"/>
        </w:rPr>
        <w:t>tab:precision-mtbfa-example</w:t>
      </w:r>
      <w:r>
        <w:rPr>
          <w:b w:val="0"/>
          <w:i w:val="0"/>
        </w:rPr>
        <w:t xml:space="preserve">, showing how higher precision can coexist with lower MTBFA; and (c) Fig. </w:t>
      </w:r>
      <w:r>
        <w:rPr>
          <w:rFonts w:ascii="Consolas" w:hAnsi="Consolas"/>
        </w:rPr>
        <w:t>fig_b3_precision_mtbfa_paradox.pdf</w:t>
      </w:r>
      <w:r>
        <w:rPr>
          <w:b w:val="0"/>
          <w:i w:val="0"/>
        </w:rPr>
        <w:t xml:space="preserve"> illustrating the paradox empirically.</w:t>
      </w:r>
    </w:p>
    <w:p>
      <w:r>
        <w:rPr>
          <w:b/>
          <w:i w:val="0"/>
          <w:color w:val="0064B4"/>
        </w:rPr>
        <w:t>Action:</w:t>
      </w:r>
      <w:r>
        <w:rPr>
          <w:b w:val="0"/>
          <w:i w:val="0"/>
          <w:color w:val="0064B4"/>
        </w:rPr>
        <w:t xml:space="preserve"> §III-B-2 algorithm + Table </w:t>
      </w:r>
      <w:r>
        <w:rPr>
          <w:rFonts w:ascii="Consolas" w:hAnsi="Consolas"/>
        </w:rPr>
        <w:t>tab:precision-mtbfa-example</w:t>
      </w:r>
      <w:r>
        <w:rPr>
          <w:b w:val="0"/>
          <w:i w:val="0"/>
          <w:color w:val="0064B4"/>
        </w:rPr>
        <w:t xml:space="preserve"> + Fig. </w:t>
      </w:r>
      <w:r>
        <w:rPr>
          <w:rFonts w:ascii="Consolas" w:hAnsi="Consolas"/>
        </w:rPr>
        <w:t>fig_b3_precision_mtbfa_paradox.pdf</w:t>
      </w:r>
      <w:r>
        <w:rPr>
          <w:b w:val="0"/>
          <w:i w:val="0"/>
          <w:color w:val="0064B4"/>
        </w:rPr>
        <w:t xml:space="preserve"> added.</w:t>
      </w:r>
    </w:p>
    <w:p>
      <w:r>
        <w:rPr>
          <w:b/>
          <w:color w:val="B43C3C"/>
          <w:sz w:val="24"/>
        </w:rPr>
        <w:t>[Reviewer 2, Comment 3]</w:t>
      </w:r>
    </w:p>
    <w:p>
      <w:pPr>
        <w:ind w:left="454"/>
      </w:pPr>
      <w:r>
        <w:rPr>
          <w:b w:val="0"/>
          <w:i/>
        </w:rPr>
        <w:t>"The relationship between the proposed metrics and existing anomaly detection evaluation frameworks (Tatbul, NAB) is not discussed."</w:t>
      </w:r>
    </w:p>
    <w:p>
      <w:r>
        <w:rPr>
          <w:b/>
          <w:i w:val="0"/>
        </w:rPr>
        <w:t>Response:</w:t>
      </w:r>
      <w:r>
        <w:rPr>
          <w:b w:val="0"/>
          <w:i w:val="0"/>
        </w:rPr>
        <w:t xml:space="preserve"> §III-D (</w:t>
      </w:r>
      <w:r>
        <w:rPr>
          <w:b w:val="0"/>
          <w:i/>
        </w:rPr>
        <w:t>Positioning Relative to Prior Work</w:t>
      </w:r>
      <w:r>
        <w:rPr>
          <w:b w:val="0"/>
          <w:i w:val="0"/>
        </w:rPr>
        <w:t>) distinguishes our contributions from Tatbul et al.'s range-based time-series metrics (offline, no user-specified time budget), the NAB score, and classical IDS false-alarm metrics (fractional FPR rather than time-between-event measures). Our contribution is the systematisation of explicit time-budgeted DR@Δt with first-detection causality, event-level MTBFA in operational time units, deployment-grounded threshold derivation, and a multi-distribution UAV case study.</w:t>
      </w:r>
    </w:p>
    <w:p>
      <w:r>
        <w:rPr>
          <w:b/>
          <w:i w:val="0"/>
          <w:color w:val="0064B4"/>
        </w:rPr>
        <w:t>Action:</w:t>
      </w:r>
      <w:r>
        <w:rPr>
          <w:b w:val="0"/>
          <w:i w:val="0"/>
          <w:color w:val="0064B4"/>
        </w:rPr>
        <w:t xml:space="preserve"> §III-D (Positioning Relative to Prior Work) added.</w:t>
      </w:r>
    </w:p>
    <w:p>
      <w:r>
        <w:rPr>
          <w:b/>
          <w:color w:val="B43C3C"/>
          <w:sz w:val="24"/>
        </w:rPr>
        <w:t>[Reviewer 2, Comment 4]</w:t>
      </w:r>
    </w:p>
    <w:p>
      <w:pPr>
        <w:ind w:left="454"/>
      </w:pPr>
      <w:r>
        <w:rPr>
          <w:b w:val="0"/>
          <w:i/>
        </w:rPr>
        <w:t>"The model comparison in §V dominates the paper, obscuring the framework contribution."</w:t>
      </w:r>
    </w:p>
    <w:p>
      <w:r>
        <w:rPr>
          <w:b/>
          <w:i w:val="0"/>
        </w:rPr>
        <w:t>Response:</w:t>
      </w:r>
      <w:r>
        <w:rPr>
          <w:b w:val="0"/>
          <w:i w:val="0"/>
        </w:rPr>
        <w:t xml:space="preserve"> §V has been renamed </w:t>
      </w:r>
      <w:r>
        <w:rPr>
          <w:b w:val="0"/>
          <w:i/>
        </w:rPr>
        <w:t>Case Study: Validating the Framework on Seven Detectors</w:t>
      </w:r>
      <w:r>
        <w:rPr>
          <w:b w:val="0"/>
          <w:i w:val="0"/>
        </w:rPr>
        <w:t>; every subsection is framed as a demonstration of the framework's discriminative power rather than an architectural recommendation. The Abstract and Introduction now state explicitly that metric values depend on training data and hyperparameters, and that what remains invariant is the framework's ability to reveal detectors that pass conventional metrics but fail operational standards. §VI-A (Generality of the Framework) elaborates the detector-agnostic and task-agnostic design.</w:t>
      </w:r>
    </w:p>
    <w:p>
      <w:r>
        <w:rPr>
          <w:b/>
          <w:i w:val="0"/>
          <w:color w:val="0064B4"/>
        </w:rPr>
        <w:t>Action:</w:t>
      </w:r>
      <w:r>
        <w:rPr>
          <w:b w:val="0"/>
          <w:i w:val="0"/>
          <w:color w:val="0064B4"/>
        </w:rPr>
        <w:t xml:space="preserve"> §V retitled and reframed; Abstract and Introduction revised; §VI-A (Generality) added.</w:t>
      </w:r>
    </w:p>
    <w:p>
      <w:r>
        <w:rPr>
          <w:b/>
          <w:color w:val="B43C3C"/>
          <w:sz w:val="24"/>
        </w:rPr>
        <w:t>[Reviewer 2, Comment 5]</w:t>
      </w:r>
    </w:p>
    <w:p>
      <w:pPr>
        <w:ind w:left="454"/>
      </w:pPr>
      <w:r>
        <w:rPr>
          <w:b w:val="0"/>
          <w:i/>
        </w:rPr>
        <w:t>"Model architecture details and reproducibility information are insufficient."</w:t>
      </w:r>
    </w:p>
    <w:p>
      <w:r>
        <w:rPr>
          <w:b/>
          <w:i w:val="0"/>
        </w:rPr>
        <w:t>Response:</w:t>
      </w:r>
      <w:r>
        <w:rPr>
          <w:b w:val="0"/>
          <w:i w:val="0"/>
        </w:rPr>
        <w:t xml:space="preserve"> §IV-F (Reproducibility) provides the architecture summary table (Table </w:t>
      </w:r>
      <w:r>
        <w:rPr>
          <w:rFonts w:ascii="Consolas" w:hAnsi="Consolas"/>
        </w:rPr>
        <w:t>tab:models</w:t>
      </w:r>
      <w:r>
        <w:rPr>
          <w:b w:val="0"/>
          <w:i w:val="0"/>
        </w:rPr>
        <w:t xml:space="preserve">; layer counts, hidden dimensions, parameter counts), the training-hyperparameter table (Table </w:t>
      </w:r>
      <w:r>
        <w:rPr>
          <w:rFonts w:ascii="Consolas" w:hAnsi="Consolas"/>
        </w:rPr>
        <w:t>tab:training-config</w:t>
      </w:r>
      <w:r>
        <w:rPr>
          <w:b w:val="0"/>
          <w:i w:val="0"/>
        </w:rPr>
        <w:t>), and a public code repository URL (https://github.com/jawkjiang/UAV). Both the MATLAB simulation pipeline and the Python detection pipeline are open-sourced with sufficient instructions to reproduce all 3,000 flights, all 35 trained checkpoints, and every table and figure.</w:t>
      </w:r>
    </w:p>
    <w:p>
      <w:r>
        <w:rPr>
          <w:b/>
          <w:i w:val="0"/>
          <w:color w:val="0064B4"/>
        </w:rPr>
        <w:t>Action:</w:t>
      </w:r>
      <w:r>
        <w:rPr>
          <w:b w:val="0"/>
          <w:i w:val="0"/>
          <w:color w:val="0064B4"/>
        </w:rPr>
        <w:t xml:space="preserve"> §IV-F (Reproducibility) with Tables </w:t>
      </w:r>
      <w:r>
        <w:rPr>
          <w:rFonts w:ascii="Consolas" w:hAnsi="Consolas"/>
        </w:rPr>
        <w:t>tab:models</w:t>
      </w:r>
      <w:r>
        <w:rPr>
          <w:b w:val="0"/>
          <w:i w:val="0"/>
          <w:color w:val="0064B4"/>
        </w:rPr>
        <w:t xml:space="preserve"> and </w:t>
      </w:r>
      <w:r>
        <w:rPr>
          <w:rFonts w:ascii="Consolas" w:hAnsi="Consolas"/>
        </w:rPr>
        <w:t>tab:training-config</w:t>
      </w:r>
      <w:r>
        <w:rPr>
          <w:b w:val="0"/>
          <w:i w:val="0"/>
          <w:color w:val="0064B4"/>
        </w:rPr>
        <w:t xml:space="preserve"> added; repository URL provided.</w:t>
      </w:r>
    </w:p>
    <w:p/>
    <w:p>
      <w:r>
        <w:rPr>
          <w:b/>
          <w:sz w:val="28"/>
        </w:rPr>
        <w:t>Reviewer 3</w:t>
      </w:r>
    </w:p>
    <w:p>
      <w:r>
        <w:rPr>
          <w:b/>
          <w:color w:val="B43C3C"/>
          <w:sz w:val="24"/>
        </w:rPr>
        <w:t>[Reviewer 3, Comment 1]</w:t>
      </w:r>
    </w:p>
    <w:p>
      <w:pPr>
        <w:ind w:left="454"/>
      </w:pPr>
      <w:r>
        <w:rPr>
          <w:b w:val="0"/>
          <w:i/>
        </w:rPr>
        <w:t>"The dataset is too small (209 flights, ~17 test attacks). Deep learning conclusions are not credible at this scale."</w:t>
      </w:r>
    </w:p>
    <w:p>
      <w:r>
        <w:rPr>
          <w:b/>
          <w:i w:val="0"/>
        </w:rPr>
        <w:t>Response:</w:t>
      </w:r>
      <w:r>
        <w:rPr>
          <w:b w:val="0"/>
          <w:i w:val="0"/>
        </w:rPr>
        <w:t xml:space="preserve"> The dataset has been completely replaced. The new test set alone contains 600 flights with 229 attacked flights — more than 13× the original attack count. The full 3,000-flight dataset spans 1,800 / 600 / 600 train / val / test flights at the flight level, preventing data leakage across splits. Table </w:t>
      </w:r>
      <w:r>
        <w:rPr>
          <w:rFonts w:ascii="Consolas" w:hAnsi="Consolas"/>
        </w:rPr>
        <w:t>tab:dataset</w:t>
      </w:r>
      <w:r>
        <w:rPr>
          <w:b w:val="0"/>
          <w:i w:val="0"/>
        </w:rPr>
        <w:t xml:space="preserve"> (§IV-A) documents the full scale.</w:t>
      </w:r>
    </w:p>
    <w:p>
      <w:r>
        <w:rPr>
          <w:b/>
          <w:i w:val="0"/>
          <w:color w:val="0064B4"/>
        </w:rPr>
        <w:t>Action:</w:t>
      </w:r>
      <w:r>
        <w:rPr>
          <w:b w:val="0"/>
          <w:i w:val="0"/>
          <w:color w:val="0064B4"/>
        </w:rPr>
        <w:t xml:space="preserve"> See response to Reviewer 1, Comment 2.</w:t>
      </w:r>
    </w:p>
    <w:p>
      <w:r>
        <w:rPr>
          <w:b/>
          <w:color w:val="B43C3C"/>
          <w:sz w:val="24"/>
        </w:rPr>
        <w:t>[Reviewer 3, Comment 2]</w:t>
      </w:r>
    </w:p>
    <w:p>
      <w:pPr>
        <w:ind w:left="454"/>
      </w:pPr>
      <w:r>
        <w:rPr>
          <w:b w:val="0"/>
          <w:i/>
        </w:rPr>
        <w:t>"The use of simulation data only is a major weakness. Real GNSS spoofing characteristics differ significantly from Gaussian noise."</w:t>
      </w:r>
    </w:p>
    <w:p>
      <w:r>
        <w:rPr>
          <w:b/>
          <w:i w:val="0"/>
        </w:rPr>
        <w:t>Response:</w:t>
      </w:r>
      <w:r>
        <w:rPr>
          <w:b w:val="0"/>
          <w:i w:val="0"/>
        </w:rPr>
        <w:t xml:space="preserve"> Zero-shot evaluation on two real-world datasets (IEEE DataPort live hardware flights and ALFA fixed-wing) is added in §V-G; the cross-distribution gap is characterised in §VI-B and §VI-C. The MATLAB sensor model limitations — no multipath, ionospheric delay, or receiver clock drift — are acknowledged in §IV-A and §VI-C. The evaluation is framed as a </w:t>
      </w:r>
      <w:r>
        <w:rPr>
          <w:b/>
          <w:i w:val="0"/>
        </w:rPr>
        <w:t>zero-shot cross-distribution stress test</w:t>
      </w:r>
      <w:r>
        <w:rPr>
          <w:b w:val="0"/>
          <w:i w:val="0"/>
        </w:rPr>
        <w:t>: the real flights differ from the training distribution along multiple axes simultaneously, so the gap cannot be attributed to any single factor.</w:t>
      </w:r>
    </w:p>
    <w:p>
      <w:r>
        <w:rPr>
          <w:b/>
          <w:i w:val="0"/>
          <w:color w:val="0064B4"/>
        </w:rPr>
        <w:t>Action:</w:t>
      </w:r>
      <w:r>
        <w:rPr>
          <w:b w:val="0"/>
          <w:i w:val="0"/>
          <w:color w:val="0064B4"/>
        </w:rPr>
        <w:t xml:space="preserve"> See response to Reviewer 1, Comment 3. §VI-C documents the sensor-model fidelity gap.</w:t>
      </w:r>
    </w:p>
    <w:p>
      <w:r>
        <w:rPr>
          <w:b/>
          <w:color w:val="B43C3C"/>
          <w:sz w:val="24"/>
        </w:rPr>
        <w:t>[Reviewer 3, Comment 3]</w:t>
      </w:r>
    </w:p>
    <w:p>
      <w:pPr>
        <w:ind w:left="454"/>
      </w:pPr>
      <w:r>
        <w:rPr>
          <w:b w:val="0"/>
          <w:i/>
        </w:rPr>
        <w:t>"Missing recent related work from 2023–2025 on GNSS spoofing detection and UAV security."</w:t>
      </w:r>
    </w:p>
    <w:p>
      <w:r>
        <w:rPr>
          <w:b/>
          <w:i w:val="0"/>
        </w:rPr>
        <w:t>Response:</w:t>
      </w:r>
      <w:r>
        <w:rPr>
          <w:b w:val="0"/>
          <w:i w:val="0"/>
        </w:rPr>
        <w:t xml:space="preserve"> Four 2024 papers have been added. </w:t>
      </w:r>
      <w:r>
        <w:rPr>
          <w:b/>
          <w:i w:val="0"/>
        </w:rPr>
        <w:t>[ref34]</w:t>
      </w:r>
      <w:r>
        <w:rPr>
          <w:b w:val="0"/>
          <w:i w:val="0"/>
        </w:rPr>
        <w:t xml:space="preserve"> Alhoraibi, Alghazzawi, and Alhebshi, "Detection of GPS spoofing attacks in UAVs based on adversarial machine-learning model," </w:t>
      </w:r>
      <w:r>
        <w:rPr>
          <w:b w:val="0"/>
          <w:i/>
        </w:rPr>
        <w:t>Sensors</w:t>
      </w:r>
      <w:r>
        <w:rPr>
          <w:b w:val="0"/>
          <w:i w:val="0"/>
        </w:rPr>
        <w:t xml:space="preserve">, vol. 24, no. 18, Sep. 2024 (doi: 10.3390/s24186156) — cited in §I for adversarial-ML-based detection. </w:t>
      </w:r>
      <w:r>
        <w:rPr>
          <w:b/>
          <w:i w:val="0"/>
        </w:rPr>
        <w:t>[ref35]</w:t>
      </w:r>
      <w:r>
        <w:rPr>
          <w:b w:val="0"/>
          <w:i w:val="0"/>
        </w:rPr>
        <w:t xml:space="preserve"> Niu, Zhuang, Lin, and Zhang, "Navigation spoofing interference detection based on Transformer model," </w:t>
      </w:r>
      <w:r>
        <w:rPr>
          <w:b w:val="0"/>
          <w:i/>
        </w:rPr>
        <w:t>Adv. Space Res.</w:t>
      </w:r>
      <w:r>
        <w:rPr>
          <w:b w:val="0"/>
          <w:i w:val="0"/>
        </w:rPr>
        <w:t xml:space="preserve">, vol. 74, no. 10, Nov. 2024 (doi: 10.1016/j.asr.2024.07.016) — cited in §I for Transformer-based real-time GNSS detection. </w:t>
      </w:r>
      <w:r>
        <w:rPr>
          <w:b/>
          <w:i w:val="0"/>
        </w:rPr>
        <w:t>[ref36]</w:t>
      </w:r>
      <w:r>
        <w:rPr>
          <w:b w:val="0"/>
          <w:i w:val="0"/>
        </w:rPr>
        <w:t xml:space="preserve"> Humphreys et al. (ION GNSS 2008 spoofer reference, cited in the threat model). </w:t>
      </w:r>
      <w:r>
        <w:rPr>
          <w:b/>
          <w:i w:val="0"/>
        </w:rPr>
        <w:t>[ref38]</w:t>
      </w:r>
      <w:r>
        <w:rPr>
          <w:b w:val="0"/>
          <w:i w:val="0"/>
        </w:rPr>
        <w:t xml:space="preserve"> IEEE DataPort UAV Attack Dataset (doi: 10.21227/00dg-0d12), the real-hardware evaluation source for §V-G. Additional 2024–2025 works already in the bibliography (ref15, ref16, ref20, ref21, ref25, ref29) provide further coverage.</w:t>
      </w:r>
    </w:p>
    <w:p>
      <w:r>
        <w:rPr>
          <w:b/>
          <w:i w:val="0"/>
          <w:color w:val="0064B4"/>
        </w:rPr>
        <w:t>Action:</w:t>
      </w:r>
      <w:r>
        <w:rPr>
          <w:b w:val="0"/>
          <w:i w:val="0"/>
          <w:color w:val="0064B4"/>
        </w:rPr>
        <w:t xml:space="preserve"> ref34, ref35, ref36, ref38 added to bibliography and cited in §I and §V-G.</w:t>
      </w:r>
    </w:p>
    <w:p>
      <w:r>
        <w:rPr>
          <w:b/>
          <w:color w:val="B43C3C"/>
          <w:sz w:val="24"/>
        </w:rPr>
        <w:t>[Reviewer 3, Comment 4]</w:t>
      </w:r>
    </w:p>
    <w:p>
      <w:pPr>
        <w:ind w:left="454"/>
      </w:pPr>
      <w:r>
        <w:rPr>
          <w:b w:val="0"/>
          <w:i/>
        </w:rPr>
        <w:t>"The TimeGAN contamination of the evaluation set is a fatal flaw that invalidates all reported results."</w:t>
      </w:r>
    </w:p>
    <w:p>
      <w:r>
        <w:rPr>
          <w:b/>
          <w:i w:val="0"/>
        </w:rPr>
        <w:t>Response:</w:t>
      </w:r>
      <w:r>
        <w:rPr>
          <w:b w:val="0"/>
          <w:i w:val="0"/>
        </w:rPr>
        <w:t xml:space="preserve"> The experimental foundation has been completely rebuilt; see response to Reviewer 1, Comment 1. All reported results are based exclusively on unaugmented MATLAB simulation flights.</w:t>
      </w:r>
    </w:p>
    <w:p>
      <w:r>
        <w:rPr>
          <w:b/>
          <w:i w:val="0"/>
          <w:color w:val="0064B4"/>
        </w:rPr>
        <w:t>Action:</w:t>
      </w:r>
      <w:r>
        <w:rPr>
          <w:b w:val="0"/>
          <w:i w:val="0"/>
          <w:color w:val="0064B4"/>
        </w:rPr>
        <w:t xml:space="preserve"> Same as Reviewer 1, Comment 1.</w:t>
      </w:r>
    </w:p>
    <w:p>
      <w:r>
        <w:rPr>
          <w:b/>
          <w:color w:val="B43C3C"/>
          <w:sz w:val="24"/>
        </w:rPr>
        <w:t>[Reviewer 3, Comment 5]</w:t>
      </w:r>
    </w:p>
    <w:p>
      <w:pPr>
        <w:ind w:left="454"/>
      </w:pPr>
      <w:r>
        <w:rPr>
          <w:b w:val="0"/>
          <w:i/>
        </w:rPr>
        <w:t>"Conventional metrics (precision, recall, F1) being identical across models while time-aware metrics differ significantly is suspicious."</w:t>
      </w:r>
    </w:p>
    <w:p>
      <w:r>
        <w:rPr>
          <w:b/>
          <w:i w:val="0"/>
        </w:rPr>
        <w:t>Response:</w:t>
      </w:r>
      <w:r>
        <w:rPr>
          <w:b w:val="0"/>
          <w:i w:val="0"/>
        </w:rPr>
        <w:t xml:space="preserve"> This pattern was an artefact of the contaminated test set, where TimeGAN-generated data inflated window-level accuracy uniformly. With the new clean test set, both metric families show clearly differentiated patterns: conventional precision spans 0.79–0.90, recall spans 0.56–0.91, F1 spans 0.69–0.90. Time-aware metrics span a wider range: DR@5s spans 0.75–0.96, ADD spans 0.90–4.68 s, MTBFA spans 0.016–0.043 h. Rank ordering by F1 differs from rank ordering by ADD — CNN-LSTM leads both F1 and ADD, but TCN ranks 7th on F1 yet 5th on DR@5s — demonstrating that the two metric families surface different architecture properties. Bonferroni-corrected pairwise </w:t>
      </w:r>
      <w:r>
        <w:rPr>
          <w:b w:val="0"/>
          <w:i/>
        </w:rPr>
        <w:t>t</w:t>
      </w:r>
      <w:r>
        <w:rPr>
          <w:b w:val="0"/>
          <w:i w:val="0"/>
        </w:rPr>
        <w:t>-tests on DR@5s confirm that inter-architecture differences are statistically significant.</w:t>
      </w:r>
    </w:p>
    <w:p>
      <w:r>
        <w:rPr>
          <w:b/>
          <w:i w:val="0"/>
          <w:color w:val="0064B4"/>
        </w:rPr>
        <w:t>Action:</w:t>
      </w:r>
      <w:r>
        <w:rPr>
          <w:b w:val="0"/>
          <w:i w:val="0"/>
          <w:color w:val="0064B4"/>
        </w:rPr>
        <w:t xml:space="preserve"> Results tables completely regenerated from clean test data. Tables </w:t>
      </w:r>
      <w:r>
        <w:rPr>
          <w:rFonts w:ascii="Consolas" w:hAnsi="Consolas"/>
        </w:rPr>
        <w:t>tab:overall-conv</w:t>
      </w:r>
      <w:r>
        <w:rPr>
          <w:b w:val="0"/>
          <w:i w:val="0"/>
          <w:color w:val="0064B4"/>
        </w:rPr>
        <w:t xml:space="preserve">, </w:t>
      </w:r>
      <w:r>
        <w:rPr>
          <w:rFonts w:ascii="Consolas" w:hAnsi="Consolas"/>
        </w:rPr>
        <w:t>tab:overall-timeaware</w:t>
      </w:r>
      <w:r>
        <w:rPr>
          <w:b w:val="0"/>
          <w:i w:val="0"/>
          <w:color w:val="0064B4"/>
        </w:rPr>
        <w:t xml:space="preserve">, </w:t>
      </w:r>
      <w:r>
        <w:rPr>
          <w:rFonts w:ascii="Consolas" w:hAnsi="Consolas"/>
        </w:rPr>
        <w:t>tab:deployability</w:t>
      </w:r>
      <w:r>
        <w:rPr>
          <w:b w:val="0"/>
          <w:i w:val="0"/>
          <w:color w:val="0064B4"/>
        </w:rPr>
        <w:t xml:space="preserve">, and </w:t>
      </w:r>
      <w:r>
        <w:rPr>
          <w:rFonts w:ascii="Consolas" w:hAnsi="Consolas"/>
        </w:rPr>
        <w:t>tab:pairwise</w:t>
      </w:r>
      <w:r>
        <w:rPr>
          <w:b w:val="0"/>
          <w:i w:val="0"/>
          <w:color w:val="0064B4"/>
        </w:rPr>
        <w:t xml:space="preserve"> in the revised manuscript.</w:t>
      </w:r>
    </w:p>
    <w:p>
      <w:r>
        <w:rPr>
          <w:b/>
          <w:color w:val="B43C3C"/>
          <w:sz w:val="24"/>
        </w:rPr>
        <w:t>[Reviewer 3, Comment 6]</w:t>
      </w:r>
    </w:p>
    <w:p>
      <w:pPr>
        <w:ind w:left="454"/>
      </w:pPr>
      <w:r>
        <w:rPr>
          <w:b w:val="0"/>
          <w:i/>
        </w:rPr>
        <w:t>"The threat model should reference real-world GPS spoofing incidents."</w:t>
      </w:r>
    </w:p>
    <w:p>
      <w:r>
        <w:rPr>
          <w:b/>
          <w:i w:val="0"/>
        </w:rPr>
        <w:t>Response:</w:t>
      </w:r>
      <w:r>
        <w:rPr>
          <w:b w:val="0"/>
          <w:i w:val="0"/>
        </w:rPr>
        <w:t xml:space="preserve"> §IV-B now cites three documented real-world spoofing incidents: the 2011 RQ-170 Sentinel capture [ref24] (exemplifies combined Step/Takeover scenario), the 2013 Humphreys yacht-hijacking demonstration [ref49] (Drift pattern used to steer off course), and the 2016 Black Sea maritime spoofing cluster [ref50] (abrupt Step offsets causing vessels to report positions kilometres inland). Each attack type in the model is linked to its real-world analogue.</w:t>
      </w:r>
    </w:p>
    <w:p>
      <w:r>
        <w:rPr>
          <w:b/>
          <w:i w:val="0"/>
          <w:color w:val="0064B4"/>
        </w:rPr>
        <w:t>Action:</w:t>
      </w:r>
      <w:r>
        <w:rPr>
          <w:b w:val="0"/>
          <w:i w:val="0"/>
          <w:color w:val="0064B4"/>
        </w:rPr>
        <w:t xml:space="preserve"> §IV-B expanded with three real-world incident citations (ref24, ref49, ref50).</w:t>
      </w:r>
    </w:p>
    <w:p>
      <w:r>
        <w:rPr>
          <w:b/>
          <w:color w:val="B43C3C"/>
          <w:sz w:val="24"/>
        </w:rPr>
        <w:t>[Reviewer 3, Comment 7]</w:t>
      </w:r>
    </w:p>
    <w:p>
      <w:pPr>
        <w:ind w:left="454"/>
      </w:pPr>
      <w:r>
        <w:rPr>
          <w:b w:val="0"/>
          <w:i/>
        </w:rPr>
        <w:t>"The scope of claims about 'high-risk' models (TCN, CNN, Transformer) is overstated."</w:t>
      </w:r>
    </w:p>
    <w:p>
      <w:r>
        <w:rPr>
          <w:b/>
          <w:i w:val="0"/>
        </w:rPr>
        <w:t>Response:</w:t>
      </w:r>
      <w:r>
        <w:rPr>
          <w:b w:val="0"/>
          <w:i w:val="0"/>
        </w:rPr>
        <w:t xml:space="preserve"> "High-risk" labels have been removed from the Abstract and throughout §V. Findings are now presented as observations within the specific experimental conditions of this study — this dataset, these attack parameters, this training protocol — not as universal architectural properties. §V opens with an explicit caveat that specific metric values depend on training data and hyperparameters, and that the case study demonstrates the framework's discriminative power, not universal architectural rankings.</w:t>
      </w:r>
    </w:p>
    <w:p>
      <w:r>
        <w:rPr>
          <w:b/>
          <w:i w:val="0"/>
          <w:color w:val="0064B4"/>
        </w:rPr>
        <w:t>Action:</w:t>
      </w:r>
      <w:r>
        <w:rPr>
          <w:b w:val="0"/>
          <w:i w:val="0"/>
          <w:color w:val="0064B4"/>
        </w:rPr>
        <w:t xml:space="preserve"> "High-risk" language removed from all instances in Abstract and §V. §V introductory paragraph added clarifying case-study scope.</w:t>
      </w:r>
    </w:p>
    <w:p/>
    <w:p>
      <w:r>
        <w:rPr>
          <w:b/>
          <w:sz w:val="28"/>
        </w:rPr>
        <w:t>Reviewer 4</w:t>
      </w:r>
    </w:p>
    <w:p>
      <w:r>
        <w:rPr>
          <w:b/>
          <w:color w:val="B43C3C"/>
          <w:sz w:val="24"/>
        </w:rPr>
        <w:t>[Reviewer 4, Comment 1]</w:t>
      </w:r>
    </w:p>
    <w:p>
      <w:pPr>
        <w:ind w:left="454"/>
      </w:pPr>
      <w:r>
        <w:rPr>
          <w:b w:val="0"/>
          <w:i/>
        </w:rPr>
        <w:t>"No statistical significance testing for model comparisons."</w:t>
      </w:r>
    </w:p>
    <w:p>
      <w:r>
        <w:rPr>
          <w:b/>
          <w:i w:val="0"/>
        </w:rPr>
        <w:t>Response:</w:t>
      </w:r>
      <w:r>
        <w:rPr>
          <w:b w:val="0"/>
          <w:i w:val="0"/>
        </w:rPr>
        <w:t xml:space="preserve"> Paired </w:t>
      </w:r>
      <w:r>
        <w:rPr>
          <w:b w:val="0"/>
          <w:i/>
        </w:rPr>
        <w:t>t</w:t>
      </w:r>
      <w:r>
        <w:rPr>
          <w:b w:val="0"/>
          <w:i w:val="0"/>
        </w:rPr>
        <w:t xml:space="preserve">-tests with Bonferroni correction are now included for all pairwise DR@5s comparisons across 7 architectures (21 pairs, α-adjusted). Results are summarised in Table </w:t>
      </w:r>
      <w:r>
        <w:rPr>
          <w:rFonts w:ascii="Consolas" w:hAnsi="Consolas"/>
        </w:rPr>
        <w:t>tab:pairwise</w:t>
      </w:r>
      <w:r>
        <w:rPr>
          <w:b w:val="0"/>
          <w:i w:val="0"/>
        </w:rPr>
        <w:t xml:space="preserve"> and referenced throughout §V. (See also response to Reviewer 1, Comment 5.)</w:t>
      </w:r>
    </w:p>
    <w:p>
      <w:r>
        <w:rPr>
          <w:b/>
          <w:i w:val="0"/>
          <w:color w:val="0064B4"/>
        </w:rPr>
        <w:t>Action:</w:t>
      </w:r>
      <w:r>
        <w:rPr>
          <w:b w:val="0"/>
          <w:i w:val="0"/>
          <w:color w:val="0064B4"/>
        </w:rPr>
        <w:t xml:space="preserve"> Same as Reviewer 1, Comment 5.</w:t>
      </w:r>
    </w:p>
    <w:p>
      <w:r>
        <w:rPr>
          <w:b/>
          <w:color w:val="B43C3C"/>
          <w:sz w:val="24"/>
        </w:rPr>
        <w:t>[Reviewer 4, Comment 2]</w:t>
      </w:r>
    </w:p>
    <w:p>
      <w:pPr>
        <w:ind w:left="454"/>
      </w:pPr>
      <w:r>
        <w:rPr>
          <w:b w:val="0"/>
          <w:i/>
        </w:rPr>
        <w:t>"Attack parameter sensitivity (step magnitude, drift duration, delay, takeover gain) is not evaluated."</w:t>
      </w:r>
    </w:p>
    <w:p>
      <w:r>
        <w:rPr>
          <w:b/>
          <w:i w:val="0"/>
        </w:rPr>
        <w:t>Response:</w:t>
      </w:r>
      <w:r>
        <w:rPr>
          <w:b w:val="0"/>
          <w:i w:val="0"/>
        </w:rPr>
        <w:t xml:space="preserve"> Per-attack-type results are reported in §V-E (Table </w:t>
      </w:r>
      <w:r>
        <w:rPr>
          <w:rFonts w:ascii="Consolas" w:hAnsi="Consolas"/>
        </w:rPr>
        <w:t>tab:dr5-by-type</w:t>
      </w:r>
      <w:r>
        <w:rPr>
          <w:b w:val="0"/>
          <w:i w:val="0"/>
        </w:rPr>
        <w:t xml:space="preserve">): every architecture is evaluated separately on Step, Drift, Delay, and Takeover subsets, with attack parameters drawn from the ranges defined in §IV-B — step magnitude </w:t>
      </w:r>
      <w:r>
        <w:rPr>
          <w:b w:val="0"/>
          <w:i/>
        </w:rPr>
        <w:t>M</w:t>
      </w:r>
      <w:r>
        <w:rPr>
          <w:b w:val="0"/>
          <w:i w:val="0"/>
        </w:rPr>
        <w:t xml:space="preserve"> ∈ {5, 15, 30} m, drift duration </w:t>
      </w:r>
      <w:r>
        <w:rPr>
          <w:b w:val="0"/>
          <w:i/>
        </w:rPr>
        <w:t>T</w:t>
      </w:r>
      <w:r>
        <w:rPr>
          <w:b w:val="0"/>
          <w:i w:val="0"/>
        </w:rPr>
        <w:t>\_drift ∈ {5, 10, 20} s, delay δ ∈ {1, 3, 5} s, takeover gain α ∈ {0.3, 0.5, 0.7}. The architecture-by-attack-type matrix surfaces interactions that aggregate DR@5s masks: most notably TCN's positional-vs-temporal asymmetry (Drift DR@5s = 0.463 vs. Takeover DR@5s = 0.961) and a precision–recall divergence on Delay attacks across architectures. A full one-axis-at-a-time parameter sweep is outside the scope of this revision; the per-family randomisation over the ranges above provides representative coverage.</w:t>
      </w:r>
    </w:p>
    <w:p>
      <w:r>
        <w:rPr>
          <w:b/>
          <w:i w:val="0"/>
          <w:color w:val="0064B4"/>
        </w:rPr>
        <w:t>Action:</w:t>
      </w:r>
      <w:r>
        <w:rPr>
          <w:b w:val="0"/>
          <w:i w:val="0"/>
          <w:color w:val="0064B4"/>
        </w:rPr>
        <w:t xml:space="preserve"> §V-E (Per-Attack-Type Performance) added with Table </w:t>
      </w:r>
      <w:r>
        <w:rPr>
          <w:rFonts w:ascii="Consolas" w:hAnsi="Consolas"/>
        </w:rPr>
        <w:t>tab:dr5-by-type</w:t>
      </w:r>
      <w:r>
        <w:rPr>
          <w:b w:val="0"/>
          <w:i w:val="0"/>
          <w:color w:val="0064B4"/>
        </w:rPr>
        <w:t>.</w:t>
      </w:r>
    </w:p>
    <w:p>
      <w:r>
        <w:rPr>
          <w:b/>
          <w:color w:val="B43C3C"/>
          <w:sz w:val="24"/>
        </w:rPr>
        <w:t>[Reviewer 4, Comment 3]</w:t>
      </w:r>
    </w:p>
    <w:p>
      <w:pPr>
        <w:ind w:left="454"/>
      </w:pPr>
      <w:r>
        <w:rPr>
          <w:b w:val="0"/>
          <w:i/>
        </w:rPr>
        <w:t>"Window size and step size are fixed without justification or sensitivity analysis."</w:t>
      </w:r>
    </w:p>
    <w:p>
      <w:r>
        <w:rPr>
          <w:b/>
          <w:i w:val="0"/>
        </w:rPr>
        <w:t>Response:</w:t>
      </w:r>
      <w:r>
        <w:rPr>
          <w:b w:val="0"/>
          <w:i w:val="0"/>
        </w:rPr>
        <w:t xml:space="preserve"> Window length </w:t>
      </w:r>
      <w:r>
        <w:rPr>
          <w:b w:val="0"/>
          <w:i/>
        </w:rPr>
        <w:t>L</w:t>
      </w:r>
      <w:r>
        <w:rPr>
          <w:b w:val="0"/>
          <w:i w:val="0"/>
        </w:rPr>
        <w:t xml:space="preserve"> = 50 samples (5.0 s at 10 Hz) is now justified in §IV-C by the detection budget: </w:t>
      </w:r>
      <w:r>
        <w:rPr>
          <w:b w:val="0"/>
          <w:i/>
        </w:rPr>
        <w:t>L</w:t>
      </w:r>
      <w:r>
        <w:rPr>
          <w:b w:val="0"/>
          <w:i w:val="0"/>
        </w:rPr>
        <w:t xml:space="preserve"> ≈ Δ</w:t>
      </w:r>
      <w:r>
        <w:rPr>
          <w:b w:val="0"/>
          <w:i/>
        </w:rPr>
        <w:t>t</w:t>
      </w:r>
      <w:r>
        <w:rPr>
          <w:b w:val="0"/>
          <w:i w:val="0"/>
        </w:rPr>
        <w:t xml:space="preserve"> · </w:t>
      </w:r>
      <w:r>
        <w:rPr>
          <w:b w:val="0"/>
          <w:i/>
        </w:rPr>
        <w:t>f</w:t>
      </w:r>
      <w:r>
        <w:rPr>
          <w:b w:val="0"/>
          <w:i w:val="0"/>
        </w:rPr>
        <w:t xml:space="preserve">_s = 5 × 10 = 50 ensures each window spans the full detection horizon. Step size </w:t>
      </w:r>
      <w:r>
        <w:rPr>
          <w:b w:val="0"/>
          <w:i/>
        </w:rPr>
        <w:t>S</w:t>
      </w:r>
      <w:r>
        <w:rPr>
          <w:b w:val="0"/>
          <w:i w:val="0"/>
        </w:rPr>
        <w:t xml:space="preserve"> = 5 samples (0.5 s) balances temporal resolution against compute cost. The sensitivity sweep over </w:t>
      </w:r>
      <w:r>
        <w:rPr>
          <w:b w:val="0"/>
          <w:i/>
        </w:rPr>
        <w:t>L</w:t>
      </w:r>
      <w:r>
        <w:rPr>
          <w:b w:val="0"/>
          <w:i w:val="0"/>
        </w:rPr>
        <w:t xml:space="preserve"> ∈ {30, 50, 80} and </w:t>
      </w:r>
      <w:r>
        <w:rPr>
          <w:b w:val="0"/>
          <w:i/>
        </w:rPr>
        <w:t>S</w:t>
      </w:r>
      <w:r>
        <w:rPr>
          <w:b w:val="0"/>
          <w:i w:val="0"/>
        </w:rPr>
        <w:t xml:space="preserve"> ∈ {3, 5, 10} (Table </w:t>
      </w:r>
      <w:r>
        <w:rPr>
          <w:rFonts w:ascii="Consolas" w:hAnsi="Consolas"/>
        </w:rPr>
        <w:t>tab:window-step-dr5</w:t>
      </w:r>
      <w:r>
        <w:rPr>
          <w:b w:val="0"/>
          <w:i w:val="0"/>
        </w:rPr>
        <w:t xml:space="preserve">, Fig. </w:t>
      </w:r>
      <w:r>
        <w:rPr>
          <w:rFonts w:ascii="Consolas" w:hAnsi="Consolas"/>
        </w:rPr>
        <w:t>fig_window_step_dr5_heatmap.pdf</w:t>
      </w:r>
      <w:r>
        <w:rPr>
          <w:b w:val="0"/>
          <w:i w:val="0"/>
        </w:rPr>
        <w:t>) shows DR@5s varying only 0.924–0.965 across all nine configurations, confirming robustness of the architectural conclusions.</w:t>
      </w:r>
    </w:p>
    <w:p>
      <w:r>
        <w:rPr>
          <w:b/>
          <w:i w:val="0"/>
          <w:color w:val="0064B4"/>
        </w:rPr>
        <w:t>Action:</w:t>
      </w:r>
      <w:r>
        <w:rPr>
          <w:b w:val="0"/>
          <w:i w:val="0"/>
          <w:color w:val="0064B4"/>
        </w:rPr>
        <w:t xml:space="preserve"> Justification sentence added to §IV-C; ablation results in §V-D with Table </w:t>
      </w:r>
      <w:r>
        <w:rPr>
          <w:rFonts w:ascii="Consolas" w:hAnsi="Consolas"/>
        </w:rPr>
        <w:t>tab:window-step-dr5</w:t>
      </w:r>
      <w:r>
        <w:rPr>
          <w:b w:val="0"/>
          <w:i w:val="0"/>
          <w:color w:val="0064B4"/>
        </w:rPr>
        <w:t xml:space="preserve"> and heatmap figure.</w:t>
      </w:r>
    </w:p>
    <w:p>
      <w:r>
        <w:rPr>
          <w:b/>
          <w:color w:val="B43C3C"/>
          <w:sz w:val="24"/>
        </w:rPr>
        <w:t>[Reviewer 4, Comment 4]</w:t>
      </w:r>
    </w:p>
    <w:p>
      <w:pPr>
        <w:ind w:left="454"/>
      </w:pPr>
      <w:r>
        <w:rPr>
          <w:b w:val="0"/>
          <w:i/>
        </w:rPr>
        <w:t>"The paper lacks a discussion of generalisability of the framework beyond the specific UAV spoofing task."</w:t>
      </w:r>
    </w:p>
    <w:p>
      <w:r>
        <w:rPr>
          <w:b/>
          <w:i w:val="0"/>
        </w:rPr>
        <w:t>Response:</w:t>
      </w:r>
      <w:r>
        <w:rPr>
          <w:b w:val="0"/>
          <w:i w:val="0"/>
        </w:rPr>
        <w:t xml:space="preserve"> §VI-A (Generality of the Framework) discusses three properties enabling detector-agnostic and task-agnostic use: (i) decoupling from the sliding-window assumption — DR@Δt, ADD, and MTBFA are defined over any causal timestamped decision sequence; (ii) portability to other event-detection domains including industrial fault prediction (ANSI/ISA-18.2 alarm management), medical monitoring, and network intrusion detection [ref10]; and (iii) the case-study framing — specific metric values are dataset-dependent, but the framework's ability to reveal detectors that pass conventional metrics but fail operational time-aware standards is invariant.</w:t>
      </w:r>
    </w:p>
    <w:p>
      <w:r>
        <w:rPr>
          <w:b/>
          <w:i w:val="0"/>
          <w:color w:val="0064B4"/>
        </w:rPr>
        <w:t>Action:</w:t>
      </w:r>
      <w:r>
        <w:rPr>
          <w:b w:val="0"/>
          <w:i w:val="0"/>
          <w:color w:val="0064B4"/>
        </w:rPr>
        <w:t xml:space="preserve"> §VI (Discussion) added with §VI-A (Generality of the Framework), §VI-B (What the Cross-Distribution Evaluation Tells Us), and §VI-C (Limitations and Future 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