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  <w:tr>
        <w:trPr>
          <w:trHeight w:val="360"/>
        </w:trP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  <w:tr>
        <w:tc>
          <w:tcPr>
            <w:tcW w:w="3120" w:type="dxa"/>
          </w:tcPr>
          <w:p>
            <w:r>
              <w:t xml:space="preserve">Pilot receipt corporate requirement.</w:t>
            </w:r>
          </w:p>
        </w:tc>
        <w:tc>
          <w:tcPr>
            <w:tcW w:w="3120" w:type="dxa"/>
          </w:tcPr>
          <w:p>
            <w:r>
              <w:t xml:space="preserve">Regional maintenance accessibility tax.</w:t>
            </w:r>
          </w:p>
        </w:tc>
        <w:tc>
          <w:tcPr>
            <w:tcW w:w="3120" w:type="dxa"/>
          </w:tcPr>
          <w:p>
            <w:r>
              <w:t xml:space="preserve">Trend suggestions board order.</w:t>
            </w:r>
          </w:p>
        </w:tc>
      </w:tr>
      <w:t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</w:tbl>
    <w:p>
      <w:r>
        <w:t xml:space="preserve">Regional maintenance accessibility tax finds record proposal denied contract onboarding support network.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