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360"/>
      </w:tblGrid>
      <w:tr>
        <w:trPr>
          <w:trHeight w:val="288" w:hRule="exact"/>
        </w:trPr>
        <w:tc>
          <w:tcPr>
            <w:tcW w:w="9360" w:type="dxa"/>
          </w:tcPr>
          <w:p>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w:t>
            </w:r>
          </w:p>
        </w:tc>
      </w:tr>
      <w:tr>
        <w:trPr>
          <w:trHeight w:val="480" w:hRule="atLeast"/>
        </w:trPr>
        <w:tc>
          <w:tcPr>
            <w:tcW w:w="9360" w:type="dxa"/>
          </w:tcPr>
          <w:p>
            <w:r>
              <w:t xml:space="preserve">Main Office, 100 Market Street, Springfield 00000.</w:t>
            </w:r>
          </w:p>
        </w:tc>
      </w:tr>
    </w:tbl>
    <w:p>
      <w:r>
        <w:t xml:space="preserve"/>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360"/>
      </w:tblGrid>
      <w:tr>
        <w:tc>
          <w:tcPr>
            <w:tcW w:w="9360" w:type="dxa"/>
          </w:tcPr>
          <w:tbl>
            <w:tblPr>
              <w:tblW w:w="9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144"/>
            </w:tblGrid>
            <w:tr>
              <w:tc>
                <w:tcPr>
                  <w:tcW w:w="9144" w:type="dxa"/>
                </w:tcPr>
                <w:tbl>
                  <w:tblPr>
                    <w:tblW w:w="8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928"/>
                  </w:tblGrid>
                  <w:tr>
                    <w:tc>
                      <w:tcPr>
                        <w:tcW w:w="8928" w:type="dxa"/>
                      </w:tcPr>
                      <w:p>
                        <w:r>
                          <w:t xml:space="preserve">The meeting forecast hereby vendors practical schedule state entry estimate management action. Budget inventory relevant group.</w:t>
                        </w:r>
                      </w:p>
                    </w:tc>
                  </w:tr>
                </w:tbl>
                <w:p/>
              </w:tc>
            </w:tr>
          </w:tbl>
          <w:p/>
        </w:tc>
      </w:tr>
    </w:tbl>
    <w:p/>
    <w:sectPr>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