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10 Output director</w:t>
      </w:r>
    </w:p>
    <w:p>
      <w:r>
        <w:t xml:space="preserve">Output-director settings are in the definition part.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ustomXml1" Type="http://schemas.openxmlformats.org/officeDocument/2006/relationships/customXml" Target="../customXml/item1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efinition xmlns="urn:store:form-definition">
  <outputDirector enabled="1">
    <title>{MERGEFIELD Shipment.Shipment_Number}</title>
    <fileName>Shipment {MERGEFIELD Shipment.Shipment_Number}</fileName>
    <email>{MERGEFIELD Recipient.Email}</email>
    <entity type="Store.Statement" field="Statement.Id"/>
  </outputDirector>
</definition>
</file>

<file path=customXml/itemProps1.xml><?xml version="1.0" encoding="utf-8"?>
<ds:datastoreItem xmlns:ds="http://schemas.openxmlformats.org/officeDocument/2006/customXml" ds:itemID="{00000001-0000-4000-8000-000000000BBB}">
  <ds:schemaRefs/>
</ds:datastoreItem>
</file>