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11.2 Headers, footers, sections</w:t>
      </w:r>
    </w:p>
    <w:p>
      <w:r>
        <w:fldChar w:fldCharType="begin"/>
      </w:r>
      <w:r>
        <w:instrText xml:space="preserve"> MERGEFIELD Recipient.Last_Name </w:instrText>
      </w:r>
      <w:r>
        <w:fldChar w:fldCharType="separate"/>
      </w:r>
      <w:r>
        <w:t xml:space="preserve">«Last_Name»</w:t>
      </w:r>
      <w:r>
        <w:fldChar w:fldCharType="end"/>
      </w:r>
    </w:p>
    <w:sectPr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p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p>
    <w:r>
      <w:fldChar w:fldCharType="begin"/>
    </w:r>
    <w:r>
      <w:instrText xml:space="preserve"> MERGEFIELD Store.Name </w:instrText>
    </w:r>
    <w:r>
      <w:fldChar w:fldCharType="separate"/>
    </w:r>
    <w:r>
      <w:t xml:space="preserve">«Name»</w:t>
    </w:r>
    <w:r>
      <w:fldChar w:fldCharType="end"/>
    </w:r>
  </w:p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