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2.1-2.4, 2.6 Fields with switches</w:t>
      </w:r>
    </w:p>
    <w:p>
      <w:r>
        <w:fldChar w:fldCharType="begin"/>
      </w:r>
      <w:r>
        <w:instrText xml:space="preserve"> MERGEFIELD Statement.Cost_Amount \# "$,0.00;($,0.00)"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Statement.Date \@ "MMMM d, yyyy" </w:instrText>
      </w:r>
      <w:r>
        <w:fldChar w:fldCharType="separate"/>
      </w:r>
      <w:r>
        <w:t xml:space="preserve">«Date»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Statement.Time \@ "h:mm AM/PM" </w:instrText>
      </w:r>
      <w:r>
        <w:fldChar w:fldCharType="separate"/>
      </w:r>
      <w:r>
        <w:t xml:space="preserve">«Time»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Shipment.Shipment_Number \* Upper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Recipient.Middle \b " " \f "," </w:instrText>
      </w:r>
      <w:r>
        <w:fldChar w:fldCharType="separate"/>
      </w:r>
      <w:r>
        <w:t xml:space="preserve">«Middle»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