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2.5 Default number format</w:t>
      </w:r>
    </w:p>
    <w:p>
      <w:r>
        <w:fldChar w:fldCharType="begin"/>
      </w:r>
      <w:r>
        <w:instrText xml:space="preserve"> MERGEFIELD Statement.Cost_Amount \# ",0.00;-,0.00" </w:instrText>
      </w:r>
      <w:r>
        <w:fldChar w:fldCharType="separate"/>
      </w:r>
      <w:r>
        <w:t xml:space="preserve">«Cost_Amount»</w:t>
      </w:r>
      <w:r>
        <w:fldChar w:fldCharType="end"/>
      </w:r>
      <w:r>
        <w:t xml:space="preserve"> </w:t>
      </w:r>
      <w:r>
        <w:fldChar w:fldCharType="begin"/>
      </w:r>
      <w:r>
        <w:instrText xml:space="preserve"> MERGEFIELD Statement.Weight \# "0;-0" </w:instrText>
      </w:r>
      <w:r>
        <w:fldChar w:fldCharType="separate"/>
      </w:r>
      <w:r>
        <w:t xml:space="preserve">«Weight»</w:t>
      </w:r>
      <w:r>
        <w:fldChar w:fldCharType="end"/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