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>Regional revenue</w:t>
      </w:r>
    </w:p>
    <w:p>
      <w:r>
        <w:drawing>
          <wp:inline distT="0" distR="0" distB="0" distL="0">
            <wp:extent cx="4572000" cy="28575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r>
        <w:t>Source: the regional ledger.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charts/chart1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en-IN"/>
              <a:t>Revenue by quarter</a:t>
            </a:r>
            <a:endParaRPr lang="en-US" sz="1100"/>
          </a:p>
        </c:rich>
      </c:tx>
      <c:layout/>
      <c:overlay val="false"/>
    </c:title>
    <c:plotArea>
      <c:barChart>
        <c:barDir val="col"/>
        <c:ser>
          <c:idx val="0"/>
          <c:order val="0"/>
          <c:tx>
            <c:strRef>
              <c:f>Sheet0!$B$1</c:f>
              <c:strCache>
                <c:ptCount val="1"/>
                <c:pt idx="0">
                  <c:v>North</c:v>
                </c:pt>
              </c:strCache>
            </c:strRef>
          </c:tx>
          <c:cat>
            <c:strRef>
              <c:f>Sheet0!$A$2:$A$5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Sheet0!$B$2:$B$5</c:f>
              <c:numCache>
                <c:ptCount val="4"/>
                <c:pt idx="0">
                  <c:v>12.5</c:v>
                </c:pt>
                <c:pt idx="1">
                  <c:v>18.0</c:v>
                </c:pt>
                <c:pt idx="2">
                  <c:v>21.5</c:v>
                </c:pt>
                <c:pt idx="3">
                  <c:v>27.0</c:v>
                </c:pt>
              </c:numCache>
            </c:numRef>
          </c:val>
        </c:ser>
        <c:ser>
          <c:idx val="1"/>
          <c:order val="1"/>
          <c:tx>
            <c:strRef>
              <c:f>Sheet0!$C$1</c:f>
              <c:strCache>
                <c:ptCount val="1"/>
                <c:pt idx="0">
                  <c:v>South</c:v>
                </c:pt>
              </c:strCache>
            </c:strRef>
          </c:tx>
          <c:cat>
            <c:strRef>
              <c:f>Sheet0!$A$2:$A$5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Sheet0!$C$2:$C$5</c:f>
              <c:numCache>
                <c:ptCount val="4"/>
                <c:pt idx="0">
                  <c:v>9.0</c:v>
                </c:pt>
                <c:pt idx="1">
                  <c:v>11.5</c:v>
                </c:pt>
                <c:pt idx="2">
                  <c:v>14.0</c:v>
                </c:pt>
                <c:pt idx="3">
                  <c:v>16.5</c:v>
                </c:pt>
              </c:numCache>
            </c:numRef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en-IN"/>
                  <a:t>Millions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b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2026-09-06T08:55:51Z</dcterms:created>
  <dc:creator>Apache POI</dc:creator>
</cp:coreProperties>
</file>