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F4E79" w:val="clear"/>
            <w:tcMar>
              <w:top w:type="dxa" w:w="600"/>
              <w:left w:type="dxa" w:w="500"/>
              <w:bottom w:type="dxa" w:w="600"/>
              <w:right w:type="dxa" w:w="500"/>
            </w:tcMar>
          </w:tcPr>
          <w:p>
            <w:pPr>
              <w:spacing w:before="0" w:after="120"/>
              <w:jc w:val="center"/>
            </w:pPr>
            <w:r>
              <w:rPr>
                <w:rFonts w:ascii="Arial" w:cs="Arial" w:eastAsia="Arial" w:hAnsi="Arial"/>
                <w:b/>
                <w:bCs/>
                <w:color w:val="FFFFFF"/>
                <w:sz w:val="48"/>
                <w:szCs w:val="48"/>
              </w:rPr>
              <w:t xml:space="preserve">AUTONOMOUS SRE PLATFORM</w:t>
            </w:r>
          </w:p>
          <w:p>
            <w:pPr>
              <w:spacing w:before="0" w:after="200"/>
              <w:jc w:val="center"/>
            </w:pPr>
            <w:r>
              <w:rPr>
                <w:rFonts w:ascii="Arial" w:cs="Arial" w:eastAsia="Arial" w:hAnsi="Arial"/>
                <w:b/>
                <w:bCs/>
                <w:color w:val="BDD7EE"/>
                <w:sz w:val="32"/>
                <w:szCs w:val="32"/>
              </w:rPr>
              <w:t xml:space="preserve">PART 1 — DATA &amp; INTELLIGENCE BACKEND</w:t>
            </w:r>
          </w:p>
          <w:p>
            <w:pPr>
              <w:spacing w:before="0" w:after="120"/>
              <w:jc w:val="center"/>
            </w:pPr>
            <w:r>
              <w:rPr>
                <w:rFonts w:ascii="Arial" w:cs="Arial" w:eastAsia="Arial" w:hAnsi="Arial"/>
                <w:color w:val="BDD7EE"/>
                <w:sz w:val="26"/>
                <w:szCs w:val="26"/>
              </w:rPr>
              <w:t xml:space="preserve">Deep Research &amp; Execution Blueprint</w:t>
            </w:r>
          </w:p>
          <w:p>
            <w:pPr>
              <w:spacing w:before="0" w:after="0"/>
              <w:jc w:val="center"/>
            </w:pPr>
            <w:r>
              <w:rPr>
                <w:rFonts w:ascii="Arial" w:cs="Arial" w:eastAsia="Arial" w:hAnsi="Arial"/>
                <w:color w:val="9DC3E6"/>
                <w:sz w:val="22"/>
                <w:szCs w:val="22"/>
              </w:rPr>
              <w:t xml:space="preserve">Ingestion  •  Knowledge Graph  •  AI Reasoning Engine</w:t>
            </w:r>
          </w:p>
        </w:tc>
      </w:tr>
    </w:tbl>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il"/>
              <w:left w:val="nil"/>
              <w:bottom w:val="nil"/>
              <w:right w:val="nil"/>
            </w:tcBorders>
            <w:shd w:fill="EBF3FA" w:val="clear"/>
            <w:tcMar>
              <w:top w:type="dxa" w:w="200"/>
              <w:left w:type="dxa" w:w="200"/>
              <w:bottom w:type="dxa" w:w="200"/>
              <w:right w:type="dxa" w:w="200"/>
            </w:tcMar>
          </w:tcPr>
          <w:p>
            <w:pPr>
              <w:spacing w:before="0" w:after="60"/>
              <w:jc w:val="center"/>
            </w:pPr>
            <w:r>
              <w:rPr>
                <w:rFonts w:ascii="Arial" w:cs="Arial" w:eastAsia="Arial" w:hAnsi="Arial"/>
                <w:color w:val="595959"/>
                <w:sz w:val="18"/>
                <w:szCs w:val="18"/>
              </w:rPr>
              <w:t xml:space="preserve">Version</w:t>
            </w:r>
          </w:p>
          <w:p>
            <w:pPr>
              <w:spacing w:before="0" w:after="0"/>
              <w:jc w:val="center"/>
            </w:pPr>
            <w:r>
              <w:rPr>
                <w:rFonts w:ascii="Arial" w:cs="Arial" w:eastAsia="Arial" w:hAnsi="Arial"/>
                <w:b/>
                <w:bCs/>
                <w:color w:val="1F4E79"/>
                <w:sz w:val="24"/>
                <w:szCs w:val="24"/>
              </w:rPr>
              <w:t xml:space="preserve">1.0</w:t>
            </w:r>
          </w:p>
        </w:tc>
        <w:tc>
          <w:tcPr>
            <w:tcW w:type="dxa" w:w="3120"/>
            <w:tcBorders>
              <w:top w:val="nil"/>
              <w:left w:val="nil"/>
              <w:bottom w:val="nil"/>
              <w:right w:val="nil"/>
            </w:tcBorders>
            <w:shd w:fill="EBF3FA" w:val="clear"/>
            <w:tcMar>
              <w:top w:type="dxa" w:w="200"/>
              <w:left w:type="dxa" w:w="200"/>
              <w:bottom w:type="dxa" w:w="200"/>
              <w:right w:type="dxa" w:w="200"/>
            </w:tcMar>
          </w:tcPr>
          <w:p>
            <w:pPr>
              <w:spacing w:before="0" w:after="60"/>
              <w:jc w:val="center"/>
            </w:pPr>
            <w:r>
              <w:rPr>
                <w:rFonts w:ascii="Arial" w:cs="Arial" w:eastAsia="Arial" w:hAnsi="Arial"/>
                <w:color w:val="595959"/>
                <w:sz w:val="18"/>
                <w:szCs w:val="18"/>
              </w:rPr>
              <w:t xml:space="preserve">Date</w:t>
            </w:r>
          </w:p>
          <w:p>
            <w:pPr>
              <w:spacing w:before="0" w:after="0"/>
              <w:jc w:val="center"/>
            </w:pPr>
            <w:r>
              <w:rPr>
                <w:rFonts w:ascii="Arial" w:cs="Arial" w:eastAsia="Arial" w:hAnsi="Arial"/>
                <w:b/>
                <w:bCs/>
                <w:color w:val="1F4E79"/>
                <w:sz w:val="24"/>
                <w:szCs w:val="24"/>
              </w:rPr>
              <w:t xml:space="preserve">February 2026</w:t>
            </w:r>
          </w:p>
        </w:tc>
        <w:tc>
          <w:tcPr>
            <w:tcW w:type="dxa" w:w="3120"/>
            <w:tcBorders>
              <w:top w:val="nil"/>
              <w:left w:val="nil"/>
              <w:bottom w:val="nil"/>
              <w:right w:val="nil"/>
            </w:tcBorders>
            <w:shd w:fill="EBF3FA" w:val="clear"/>
            <w:tcMar>
              <w:top w:type="dxa" w:w="200"/>
              <w:left w:type="dxa" w:w="200"/>
              <w:bottom w:type="dxa" w:w="200"/>
              <w:right w:type="dxa" w:w="200"/>
            </w:tcMar>
          </w:tcPr>
          <w:p>
            <w:pPr>
              <w:spacing w:before="0" w:after="60"/>
              <w:jc w:val="center"/>
            </w:pPr>
            <w:r>
              <w:rPr>
                <w:rFonts w:ascii="Arial" w:cs="Arial" w:eastAsia="Arial" w:hAnsi="Arial"/>
                <w:color w:val="595959"/>
                <w:sz w:val="18"/>
                <w:szCs w:val="18"/>
              </w:rPr>
              <w:t xml:space="preserve">Status</w:t>
            </w:r>
          </w:p>
          <w:p>
            <w:pPr>
              <w:spacing w:before="0" w:after="0"/>
              <w:jc w:val="center"/>
            </w:pPr>
            <w:r>
              <w:rPr>
                <w:rFonts w:ascii="Arial" w:cs="Arial" w:eastAsia="Arial" w:hAnsi="Arial"/>
                <w:b/>
                <w:bCs/>
                <w:color w:val="107C10"/>
                <w:sz w:val="24"/>
                <w:szCs w:val="24"/>
              </w:rPr>
              <w:t xml:space="preserve">Approved for Build</w:t>
            </w:r>
          </w:p>
        </w:tc>
      </w:tr>
    </w:tbl>
    <w:p>
      <w:pPr>
        <w:spacing w:before="0" w:after="0"/>
      </w:pPr>
      <w:r>
        <w:rPr>
          <w:sz w:val="28"/>
          <w:szCs w:val="28"/>
        </w:rPr>
        <w:t xml:space="preserve"/>
      </w:r>
    </w:p>
    <w:p>
      <w:r>
        <w:br w:type="page"/>
      </w:r>
    </w:p>
    <w:p>
      <w:pPr>
        <w:pStyle w:val="Heading1"/>
        <w:pBdr>
          <w:bottom w:val="single" w:color="2E75B6" w:sz="8" w:space="6"/>
        </w:pBdr>
        <w:spacing w:before="360" w:after="120"/>
      </w:pPr>
      <w:r>
        <w:rPr>
          <w:rFonts w:ascii="Arial" w:cs="Arial" w:eastAsia="Arial" w:hAnsi="Arial"/>
          <w:b/>
          <w:bCs/>
          <w:color w:val="1F4E79"/>
          <w:sz w:val="36"/>
          <w:szCs w:val="36"/>
        </w:rPr>
        <w:t xml:space="preserve">Executive Summary</w:t>
      </w:r>
    </w:p>
    <w:p>
      <w:pPr>
        <w:spacing w:before="80" w:after="100"/>
      </w:pPr>
      <w:r>
        <w:rPr>
          <w:rFonts w:ascii="Arial" w:cs="Arial" w:eastAsia="Arial" w:hAnsi="Arial"/>
          <w:color w:val="1A1A2E"/>
          <w:sz w:val="22"/>
          <w:szCs w:val="22"/>
        </w:rPr>
        <w:t xml:space="preserve">Part 1 of the Autonomous SRE Platform is the intelligence core — the system of record that transforms raw telemetry into structured, actionable root-cause knowledge. It operates entirely independently of user-facing layers and can be built, tested, and deployed in isolation.</w:t>
      </w:r>
    </w:p>
    <w:p>
      <w:pPr>
        <w:spacing w:before="80" w:after="100"/>
      </w:pPr>
      <w:r>
        <w:rPr>
          <w:rFonts w:ascii="Arial" w:cs="Arial" w:eastAsia="Arial" w:hAnsi="Arial"/>
          <w:color w:val="1A1A2E"/>
          <w:sz w:val="22"/>
          <w:szCs w:val="22"/>
        </w:rPr>
        <w:t xml:space="preserve">This part encompasses three tightly integrated subsystems: (1) a universal telemetry ingestion pipeline powered by Airbyte and OpenTelemetry; (2) a living knowledge graph on Neo4j that encodes the full topology of distributed systems; and (3) an AI reasoning engine using OpenAI GPT-4o via LangChain/LangGraph that performs hypothesis-driven root cause analysis.</w:t>
      </w:r>
    </w:p>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EEAF1" w:val="clear"/>
            <w:tcMar>
              <w:top w:type="dxa" w:w="160"/>
              <w:left w:type="dxa" w:w="200"/>
              <w:bottom w:type="dxa" w:w="160"/>
              <w:right w:type="dxa" w:w="200"/>
            </w:tcMar>
          </w:tcPr>
          <w:p>
            <w:pPr>
              <w:spacing w:before="0" w:after="80"/>
            </w:pPr>
            <w:r>
              <w:rPr>
                <w:rFonts w:ascii="Arial" w:cs="Arial" w:eastAsia="Arial" w:hAnsi="Arial"/>
                <w:b/>
                <w:bCs/>
                <w:color w:val="1F4E79"/>
                <w:sz w:val="22"/>
                <w:szCs w:val="22"/>
              </w:rPr>
              <w:t xml:space="preserve">KEY OUTCOME — PART 1</w:t>
            </w:r>
          </w:p>
          <w:p>
            <w:pPr>
              <w:spacing w:before="0" w:after="0"/>
            </w:pPr>
            <w:r>
              <w:rPr>
                <w:rFonts w:ascii="Arial" w:cs="Arial" w:eastAsia="Arial" w:hAnsi="Arial"/>
                <w:color w:val="1A1A2E"/>
                <w:sz w:val="21"/>
                <w:szCs w:val="21"/>
              </w:rPr>
              <w:t xml:space="preserve">Deliver a fully autonomous investigation engine that, given any alert payload, produces a structured JSON root-cause analysis object within 4 minutes — with ranked hypotheses, supporting evidence citations, and next-best-action recommendations — ready for consumption by Part 2.</w:t>
            </w:r>
          </w:p>
        </w:tc>
      </w:tr>
    </w:tbl>
    <w:p>
      <w:pPr>
        <w:spacing w:before="0" w:after="0"/>
      </w:pPr>
      <w:r>
        <w:rPr>
          <w:sz w:val="14"/>
          <w:szCs w:val="14"/>
        </w:rPr>
        <w:t xml:space="preserve"/>
      </w:r>
    </w:p>
    <w:p>
      <w:pPr>
        <w:pStyle w:val="Heading2"/>
        <w:spacing w:before="280" w:after="100"/>
      </w:pPr>
      <w:r>
        <w:rPr>
          <w:rFonts w:ascii="Arial" w:cs="Arial" w:eastAsia="Arial" w:hAnsi="Arial"/>
          <w:b/>
          <w:bCs/>
          <w:color w:val="2E75B6"/>
          <w:sz w:val="28"/>
          <w:szCs w:val="28"/>
        </w:rPr>
        <w:t xml:space="preserve">Scope Boundary</w:t>
      </w:r>
    </w:p>
    <w:p>
      <w:pPr>
        <w:spacing w:before="80" w:after="100"/>
      </w:pPr>
      <w:r>
        <w:rPr>
          <w:rFonts w:ascii="Arial" w:cs="Arial" w:eastAsia="Arial" w:hAnsi="Arial"/>
          <w:color w:val="1A1A2E"/>
          <w:sz w:val="22"/>
          <w:szCs w:val="22"/>
        </w:rPr>
        <w:t xml:space="preserve">Part 1 owns everything from telemetry source to investigation output JSON. It has zero dependency on Part 2. The interface contract is a single well-defined JSON schema published at kickoff, allowing both parts to develop in parallel from week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Owned by Part 1</w:t>
            </w:r>
          </w:p>
        </w:tc>
        <w:tc>
          <w:tcPr>
            <w:tcW w:type="dxa" w:w="27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Interface to Part 2</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Telemetry Ingestion</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Airbyte connectors, OTel Collector, schema normalization</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 — internal only</w:t>
            </w:r>
          </w:p>
        </w:tc>
      </w:tr>
      <w:tr>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Knowledge Graph</w:t>
            </w:r>
          </w:p>
        </w:tc>
        <w:tc>
          <w:tcPr>
            <w:tcW w:type="dxa" w:w="3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Neo4j schema, graph writer, Kafka/Flink pipeline</w:t>
            </w:r>
          </w:p>
        </w:tc>
        <w:tc>
          <w:tcPr>
            <w:tcW w:type="dxa" w:w="27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None — internal only</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Reasoning Engine</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LangChain agent, hypothesis engine, OpenAI, Tavily</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Investigation JSON object (output)</w:t>
            </w:r>
          </w:p>
        </w:tc>
      </w:tr>
      <w:tr>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Eval Harness</w:t>
            </w:r>
          </w:p>
        </w:tc>
        <w:tc>
          <w:tcPr>
            <w:tcW w:type="dxa" w:w="3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RCA accuracy benchmarks, regression tests</w:t>
            </w:r>
          </w:p>
        </w:tc>
        <w:tc>
          <w:tcPr>
            <w:tcW w:type="dxa" w:w="27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Accuracy metrics (shared dashboard)</w:t>
            </w:r>
          </w:p>
        </w:tc>
      </w:tr>
    </w:tbl>
    <w:p>
      <w:pPr>
        <w:spacing w:before="0" w:after="0"/>
      </w:pPr>
      <w:r>
        <w:rPr>
          <w:sz w:val="28"/>
          <w:szCs w:val="28"/>
        </w:rPr>
        <w:t xml:space="preserve"/>
      </w:r>
    </w:p>
    <w:p>
      <w:r>
        <w:br w:type="page"/>
      </w:r>
    </w:p>
    <w:p>
      <w:pPr>
        <w:pStyle w:val="Heading1"/>
        <w:pBdr>
          <w:bottom w:val="single" w:color="2E75B6" w:sz="8" w:space="6"/>
        </w:pBdr>
        <w:spacing w:before="360" w:after="120"/>
      </w:pPr>
      <w:r>
        <w:rPr>
          <w:rFonts w:ascii="Arial" w:cs="Arial" w:eastAsia="Arial" w:hAnsi="Arial"/>
          <w:b/>
          <w:bCs/>
          <w:color w:val="1F4E79"/>
          <w:sz w:val="36"/>
          <w:szCs w:val="36"/>
        </w:rPr>
        <w:t xml:space="preserve">1. Telemetry Ingestion Layer</w:t>
      </w:r>
    </w:p>
    <w:p>
      <w:pPr>
        <w:pStyle w:val="Heading2"/>
        <w:spacing w:before="280" w:after="100"/>
      </w:pPr>
      <w:r>
        <w:rPr>
          <w:rFonts w:ascii="Arial" w:cs="Arial" w:eastAsia="Arial" w:hAnsi="Arial"/>
          <w:b/>
          <w:bCs/>
          <w:color w:val="2E75B6"/>
          <w:sz w:val="28"/>
          <w:szCs w:val="28"/>
        </w:rPr>
        <w:t xml:space="preserve">1.1 Architecture Overview</w:t>
      </w:r>
    </w:p>
    <w:p>
      <w:pPr>
        <w:spacing w:before="80" w:after="100"/>
      </w:pPr>
      <w:r>
        <w:rPr>
          <w:rFonts w:ascii="Arial" w:cs="Arial" w:eastAsia="Arial" w:hAnsi="Arial"/>
          <w:color w:val="1A1A2E"/>
          <w:sz w:val="22"/>
          <w:szCs w:val="22"/>
        </w:rPr>
        <w:t xml:space="preserve">The ingestion layer is the sensory system of the platform. Its job is to pull telemetry from every possible source — cloud-native, on-prem, SaaS, custom — normalize it into a unified schema, and stream it downstream to the knowledge graph writer. It must be reliable, low-latency, and schema-stable.</w:t>
      </w:r>
    </w:p>
    <w:p>
      <w:pPr>
        <w:spacing w:before="80" w:after="100"/>
      </w:pPr>
      <w:r>
        <w:rPr>
          <w:rFonts w:ascii="Arial" w:cs="Arial" w:eastAsia="Arial" w:hAnsi="Arial"/>
          <w:color w:val="1A1A2E"/>
          <w:sz w:val="22"/>
          <w:szCs w:val="22"/>
        </w:rPr>
        <w:t xml:space="preserve">Two complementary technologies handle ingestion: Airbyte for batch/scheduled connector syncs from 300+ sources, and the OpenTelemetry Collector for real-time streaming telemetry from instrumented workloads.</w:t>
      </w:r>
    </w:p>
    <w:p>
      <w:pPr>
        <w:pStyle w:val="Heading2"/>
        <w:spacing w:before="280" w:after="100"/>
      </w:pPr>
      <w:r>
        <w:rPr>
          <w:rFonts w:ascii="Arial" w:cs="Arial" w:eastAsia="Arial" w:hAnsi="Arial"/>
          <w:b/>
          <w:bCs/>
          <w:color w:val="2E75B6"/>
          <w:sz w:val="28"/>
          <w:szCs w:val="28"/>
        </w:rPr>
        <w:t xml:space="preserve">1.2 Airbyte — Universal ELT Connector Platform</w:t>
      </w:r>
    </w:p>
    <w:p>
      <w:pPr>
        <w:spacing w:before="80" w:after="100"/>
      </w:pPr>
      <w:r>
        <w:rPr>
          <w:rFonts w:ascii="Arial" w:cs="Arial" w:eastAsia="Arial" w:hAnsi="Arial"/>
          <w:color w:val="1A1A2E"/>
          <w:sz w:val="22"/>
          <w:szCs w:val="22"/>
        </w:rPr>
        <w:t xml:space="preserve">Airbyte is the backbone of the ingestion layer. Its catalog of 300+ pre-built connectors eliminates the need to write custom integrations for each telemetry source. The platform consumes the following connector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Connector Category</w:t>
            </w:r>
          </w:p>
        </w:tc>
        <w:tc>
          <w:tcPr>
            <w:tcW w:type="dxa" w:w="2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Sources</w:t>
            </w:r>
          </w:p>
        </w:tc>
        <w:tc>
          <w:tcPr>
            <w:tcW w:type="dxa" w:w="2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Data Types</w:t>
            </w:r>
          </w:p>
        </w:tc>
        <w:tc>
          <w:tcPr>
            <w:tcW w:type="dxa" w:w="24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Sync Frequency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AWS Native</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CloudWatch Metrics, CloudWatch Logs, X-Ray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Metrics, logs, traces</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1 minute</w:t>
            </w:r>
          </w:p>
        </w:tc>
      </w:tr>
      <w:tr>
        <w:tc>
          <w:tcPr>
            <w:tcW w:type="dxa" w:w="2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Kubernetes</w:t>
            </w:r>
          </w:p>
        </w:tc>
        <w:tc>
          <w:tcPr>
            <w:tcW w:type="dxa" w:w="25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Events, Pod metrics, Node metrics</w:t>
            </w:r>
          </w:p>
        </w:tc>
        <w:tc>
          <w:tcPr>
            <w:tcW w:type="dxa" w:w="2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Events, resource utilization</w:t>
            </w:r>
          </w:p>
        </w:tc>
        <w:tc>
          <w:tcPr>
            <w:tcW w:type="dxa" w:w="24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Every 2 minutes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APM / Tracing</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Datadog, New Relic, Dynatrace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Traces, spans, error rates</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5 minutes</w:t>
            </w:r>
          </w:p>
        </w:tc>
      </w:tr>
      <w:tr>
        <w:tc>
          <w:tcPr>
            <w:tcW w:type="dxa" w:w="2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On-Prem / Hybrid</w:t>
            </w:r>
          </w:p>
        </w:tc>
        <w:tc>
          <w:tcPr>
            <w:tcW w:type="dxa" w:w="25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Prometheus, Grafana Loki, Elasticsearch</w:t>
            </w:r>
          </w:p>
        </w:tc>
        <w:tc>
          <w:tcPr>
            <w:tcW w:type="dxa" w:w="2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Metrics, logs</w:t>
            </w:r>
          </w:p>
        </w:tc>
        <w:tc>
          <w:tcPr>
            <w:tcW w:type="dxa" w:w="24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Every 5 minutes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Infrastructure Events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PagerDuty, OpsGenie, ServiceNow</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Incident history, alert metadata</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15 minutes</w:t>
            </w:r>
          </w:p>
        </w:tc>
      </w:tr>
      <w:tr>
        <w:tc>
          <w:tcPr>
            <w:tcW w:type="dxa" w:w="2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Deployment Systems</w:t>
            </w:r>
          </w:p>
        </w:tc>
        <w:tc>
          <w:tcPr>
            <w:tcW w:type="dxa" w:w="25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GitHub Actions, Argo CD, Jenkins</w:t>
            </w:r>
          </w:p>
        </w:tc>
        <w:tc>
          <w:tcPr>
            <w:tcW w:type="dxa" w:w="2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Deployment events, commit SHAs</w:t>
            </w:r>
          </w:p>
        </w:tc>
        <w:tc>
          <w:tcPr>
            <w:tcW w:type="dxa" w:w="24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On event</w:t>
            </w:r>
          </w:p>
        </w:tc>
      </w:tr>
    </w:tbl>
    <w:p>
      <w:pPr>
        <w:spacing w:before="0" w:after="0"/>
      </w:pPr>
      <w:r>
        <w:rPr>
          <w:sz w:val="14"/>
          <w:szCs w:val="14"/>
        </w:rPr>
        <w:t xml:space="preserve"/>
      </w:r>
    </w:p>
    <w:p>
      <w:pPr>
        <w:spacing w:before="80" w:after="100"/>
      </w:pPr>
      <w:r>
        <w:rPr>
          <w:rFonts w:ascii="Arial" w:cs="Arial" w:eastAsia="Arial" w:hAnsi="Arial"/>
          <w:color w:val="1A1A2E"/>
          <w:sz w:val="22"/>
          <w:szCs w:val="22"/>
        </w:rPr>
        <w:t xml:space="preserve">All connectors output to a staging layer (S3 or Kafka topic) where a normalization transform maps source-specific field names to the platform's unified telemetry schema before downstream consumption.</w:t>
      </w:r>
    </w:p>
    <w:p>
      <w:pPr>
        <w:pStyle w:val="Heading2"/>
        <w:spacing w:before="280" w:after="100"/>
      </w:pPr>
      <w:r>
        <w:rPr>
          <w:rFonts w:ascii="Arial" w:cs="Arial" w:eastAsia="Arial" w:hAnsi="Arial"/>
          <w:b/>
          <w:bCs/>
          <w:color w:val="2E75B6"/>
          <w:sz w:val="28"/>
          <w:szCs w:val="28"/>
        </w:rPr>
        <w:t xml:space="preserve">1.3 OpenTelemetry Collector — Real-Time Streaming</w:t>
      </w:r>
    </w:p>
    <w:p>
      <w:pPr>
        <w:spacing w:before="80" w:after="100"/>
      </w:pPr>
      <w:r>
        <w:rPr>
          <w:rFonts w:ascii="Arial" w:cs="Arial" w:eastAsia="Arial" w:hAnsi="Arial"/>
          <w:color w:val="1A1A2E"/>
          <w:sz w:val="22"/>
          <w:szCs w:val="22"/>
        </w:rPr>
        <w:t xml:space="preserve">For latency-sensitive signals, the OpenTelemetry (OTel) Collector deployed as a DaemonSet on EKS receives push-based telemetry directly from instrumented services. This path bypasses Airbyte's polling cycle and delivers sub-second signal propagation to the graph writer.</w:t>
      </w:r>
    </w:p>
    <w:p>
      <w:pPr>
        <w:pStyle w:val="Heading3"/>
        <w:spacing w:before="200" w:after="80"/>
      </w:pPr>
      <w:r>
        <w:rPr>
          <w:rFonts w:ascii="Arial" w:cs="Arial" w:eastAsia="Arial" w:hAnsi="Arial"/>
          <w:b/>
          <w:bCs/>
          <w:color w:val="404040"/>
          <w:sz w:val="24"/>
          <w:szCs w:val="24"/>
        </w:rPr>
        <w:t xml:space="preserve">Collector Configuration</w:t>
      </w:r>
    </w:p>
    <w:p>
      <w:pPr>
        <w:pStyle w:val="ListParagraph"/>
        <w:numPr>
          <w:ilvl w:val="0"/>
          <w:numId w:val="2"/>
        </w:numPr>
        <w:spacing w:before="60" w:after="60"/>
      </w:pPr>
      <w:r>
        <w:rPr>
          <w:rFonts w:ascii="Arial" w:cs="Arial" w:eastAsia="Arial" w:hAnsi="Arial"/>
          <w:b w:val="false"/>
          <w:bCs w:val="false"/>
          <w:color w:val="1A1A2E"/>
          <w:sz w:val="22"/>
          <w:szCs w:val="22"/>
        </w:rPr>
        <w:t xml:space="preserve">Receivers: OTLP gRPC (port 4317), OTLP HTTP (port 4318), Prometheus scrape, Jaeger</w:t>
      </w:r>
    </w:p>
    <w:p>
      <w:pPr>
        <w:pStyle w:val="ListParagraph"/>
        <w:numPr>
          <w:ilvl w:val="0"/>
          <w:numId w:val="2"/>
        </w:numPr>
        <w:spacing w:before="60" w:after="60"/>
      </w:pPr>
      <w:r>
        <w:rPr>
          <w:rFonts w:ascii="Arial" w:cs="Arial" w:eastAsia="Arial" w:hAnsi="Arial"/>
          <w:b w:val="false"/>
          <w:bCs w:val="false"/>
          <w:color w:val="1A1A2E"/>
          <w:sz w:val="22"/>
          <w:szCs w:val="22"/>
        </w:rPr>
        <w:t xml:space="preserve">Processors: Batch processor (500ms window), Memory limiter (75% threshold), PII attribute redactor</w:t>
      </w:r>
    </w:p>
    <w:p>
      <w:pPr>
        <w:pStyle w:val="ListParagraph"/>
        <w:numPr>
          <w:ilvl w:val="0"/>
          <w:numId w:val="2"/>
        </w:numPr>
        <w:spacing w:before="60" w:after="60"/>
      </w:pPr>
      <w:r>
        <w:rPr>
          <w:rFonts w:ascii="Arial" w:cs="Arial" w:eastAsia="Arial" w:hAnsi="Arial"/>
          <w:b w:val="false"/>
          <w:bCs w:val="false"/>
          <w:color w:val="1A1A2E"/>
          <w:sz w:val="22"/>
          <w:szCs w:val="22"/>
        </w:rPr>
        <w:t xml:space="preserve">Exporters: Kafka producer (topics: traces, metrics, logs), AWS CloudWatch Metrics API</w:t>
      </w:r>
    </w:p>
    <w:p>
      <w:pPr>
        <w:pStyle w:val="ListParagraph"/>
        <w:numPr>
          <w:ilvl w:val="0"/>
          <w:numId w:val="2"/>
        </w:numPr>
        <w:spacing w:before="60" w:after="60"/>
      </w:pPr>
      <w:r>
        <w:rPr>
          <w:rFonts w:ascii="Arial" w:cs="Arial" w:eastAsia="Arial" w:hAnsi="Arial"/>
          <w:b w:val="false"/>
          <w:bCs w:val="false"/>
          <w:color w:val="1A1A2E"/>
          <w:sz w:val="22"/>
          <w:szCs w:val="22"/>
        </w:rPr>
        <w:t xml:space="preserve">DaemonSet resource limits: 200m CPU, 256Mi memory per node</w:t>
      </w:r>
    </w:p>
    <w:p>
      <w:pPr>
        <w:pStyle w:val="Heading2"/>
        <w:spacing w:before="280" w:after="100"/>
      </w:pPr>
      <w:r>
        <w:rPr>
          <w:rFonts w:ascii="Arial" w:cs="Arial" w:eastAsia="Arial" w:hAnsi="Arial"/>
          <w:b/>
          <w:bCs/>
          <w:color w:val="2E75B6"/>
          <w:sz w:val="28"/>
          <w:szCs w:val="28"/>
        </w:rPr>
        <w:t xml:space="preserve">1.4 Unified Telemetry Schema</w:t>
      </w:r>
    </w:p>
    <w:p>
      <w:pPr>
        <w:spacing w:before="80" w:after="100"/>
      </w:pPr>
      <w:r>
        <w:rPr>
          <w:rFonts w:ascii="Arial" w:cs="Arial" w:eastAsia="Arial" w:hAnsi="Arial"/>
          <w:color w:val="1A1A2E"/>
          <w:sz w:val="22"/>
          <w:szCs w:val="22"/>
        </w:rPr>
        <w:t xml:space="preserve">All signals — regardless of source — are normalized to a common schema before reaching the knowledge graph. This schema stability is the contract that allows the graph writer and AI agent to operate without source-specific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1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3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1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signal_id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Unique event identifier</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a3f2-bc91-...</w:t>
            </w:r>
          </w:p>
        </w:tc>
      </w:tr>
      <w:tr>
        <w:tc>
          <w:tcPr>
            <w:tcW w:type="dxa" w:w="1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signal_type</w:t>
            </w:r>
          </w:p>
        </w:tc>
        <w:tc>
          <w:tcPr>
            <w:tcW w:type="dxa" w:w="1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3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metric | log | trace | event</w:t>
            </w:r>
          </w:p>
        </w:tc>
        <w:tc>
          <w:tcPr>
            <w:tcW w:type="dxa" w:w="31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metric</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service_name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Originating service</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checkout-api</w:t>
            </w:r>
          </w:p>
        </w:tc>
      </w:tr>
      <w:tr>
        <w:tc>
          <w:tcPr>
            <w:tcW w:type="dxa" w:w="1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host_id</w:t>
            </w:r>
          </w:p>
        </w:tc>
        <w:tc>
          <w:tcPr>
            <w:tcW w:type="dxa" w:w="1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3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Host/pod identifier</w:t>
            </w:r>
          </w:p>
        </w:tc>
        <w:tc>
          <w:tcPr>
            <w:tcW w:type="dxa" w:w="31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ip-10-0-1-42</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timestamp_utc</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ISO8601</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Signal emission time</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2026-02-27T14:32:00Z</w:t>
            </w:r>
          </w:p>
        </w:tc>
      </w:tr>
      <w:tr>
        <w:tc>
          <w:tcPr>
            <w:tcW w:type="dxa" w:w="1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value</w:t>
            </w:r>
          </w:p>
        </w:tc>
        <w:tc>
          <w:tcPr>
            <w:tcW w:type="dxa" w:w="1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float/string</w:t>
            </w:r>
          </w:p>
        </w:tc>
        <w:tc>
          <w:tcPr>
            <w:tcW w:type="dxa" w:w="3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Metric value or log body</w:t>
            </w:r>
          </w:p>
        </w:tc>
        <w:tc>
          <w:tcPr>
            <w:tcW w:type="dxa" w:w="31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0.987</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severity</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INFO | WARN | ERROR | CRITICAL</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ERROR</w:t>
            </w:r>
          </w:p>
        </w:tc>
      </w:tr>
      <w:tr>
        <w:tc>
          <w:tcPr>
            <w:tcW w:type="dxa" w:w="1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tags</w:t>
            </w:r>
          </w:p>
        </w:tc>
        <w:tc>
          <w:tcPr>
            <w:tcW w:type="dxa" w:w="1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map&lt;string,string&gt;</w:t>
            </w:r>
          </w:p>
        </w:tc>
        <w:tc>
          <w:tcPr>
            <w:tcW w:type="dxa" w:w="3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Arbitrary key-value labels</w:t>
            </w:r>
          </w:p>
        </w:tc>
        <w:tc>
          <w:tcPr>
            <w:tcW w:type="dxa" w:w="31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{env: prod, region: us-east-1}</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trace_id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Distributed trace correlation ID</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abc123...</w:t>
            </w:r>
          </w:p>
        </w:tc>
      </w:tr>
      <w:tr>
        <w:tc>
          <w:tcPr>
            <w:tcW w:type="dxa" w:w="1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source_connector</w:t>
            </w:r>
          </w:p>
        </w:tc>
        <w:tc>
          <w:tcPr>
            <w:tcW w:type="dxa" w:w="1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3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Airbyte/OTel source identifier</w:t>
            </w:r>
          </w:p>
        </w:tc>
        <w:tc>
          <w:tcPr>
            <w:tcW w:type="dxa" w:w="31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aws-cloudwatch</w:t>
            </w:r>
          </w:p>
        </w:tc>
      </w:tr>
    </w:tbl>
    <w:p>
      <w:pPr>
        <w:spacing w:before="0" w:after="0"/>
      </w:pPr>
      <w:r>
        <w:rPr>
          <w:sz w:val="14"/>
          <w:szCs w:val="14"/>
        </w:rPr>
        <w:t xml:space="preserve"/>
      </w:r>
    </w:p>
    <w:p>
      <w:pPr>
        <w:pStyle w:val="Heading2"/>
        <w:spacing w:before="280" w:after="100"/>
      </w:pPr>
      <w:r>
        <w:rPr>
          <w:rFonts w:ascii="Arial" w:cs="Arial" w:eastAsia="Arial" w:hAnsi="Arial"/>
          <w:b/>
          <w:bCs/>
          <w:color w:val="2E75B6"/>
          <w:sz w:val="28"/>
          <w:szCs w:val="28"/>
        </w:rPr>
        <w:t xml:space="preserve">1.5 PII Scrubbing Pipeline</w:t>
      </w:r>
    </w:p>
    <w:p>
      <w:pPr>
        <w:spacing w:before="80" w:after="100"/>
      </w:pPr>
      <w:r>
        <w:rPr>
          <w:rFonts w:ascii="Arial" w:cs="Arial" w:eastAsia="Arial" w:hAnsi="Arial"/>
          <w:color w:val="1A1A2E"/>
          <w:sz w:val="22"/>
          <w:szCs w:val="22"/>
        </w:rPr>
        <w:t xml:space="preserve">Before any signal reaches the graph or the AI agent, it passes through a scrubbing transform that strips or masks personally identifiable information. This is enforced at the Airbyte dbt transform layer and the OTel processor chain simultaneously.</w:t>
      </w:r>
    </w:p>
    <w:p>
      <w:pPr>
        <w:pStyle w:val="ListParagraph"/>
        <w:numPr>
          <w:ilvl w:val="0"/>
          <w:numId w:val="2"/>
        </w:numPr>
        <w:spacing w:before="60" w:after="60"/>
      </w:pPr>
      <w:r>
        <w:rPr>
          <w:rFonts w:ascii="Arial" w:cs="Arial" w:eastAsia="Arial" w:hAnsi="Arial"/>
          <w:b w:val="false"/>
          <w:bCs w:val="false"/>
          <w:color w:val="1A1A2E"/>
          <w:sz w:val="22"/>
          <w:szCs w:val="22"/>
        </w:rPr>
        <w:t xml:space="preserve">Regex-based redaction: email addresses, phone numbers, credit card patterns, SSN patterns</w:t>
      </w:r>
    </w:p>
    <w:p>
      <w:pPr>
        <w:pStyle w:val="ListParagraph"/>
        <w:numPr>
          <w:ilvl w:val="0"/>
          <w:numId w:val="2"/>
        </w:numPr>
        <w:spacing w:before="60" w:after="60"/>
      </w:pPr>
      <w:r>
        <w:rPr>
          <w:rFonts w:ascii="Arial" w:cs="Arial" w:eastAsia="Arial" w:hAnsi="Arial"/>
          <w:b w:val="false"/>
          <w:bCs w:val="false"/>
          <w:color w:val="1A1A2E"/>
          <w:sz w:val="22"/>
          <w:szCs w:val="22"/>
        </w:rPr>
        <w:t xml:space="preserve">Field-level masking: any field tagged with `pii: true` in the connector config is hashed (SHA-256)</w:t>
      </w:r>
    </w:p>
    <w:p>
      <w:pPr>
        <w:pStyle w:val="ListParagraph"/>
        <w:numPr>
          <w:ilvl w:val="0"/>
          <w:numId w:val="2"/>
        </w:numPr>
        <w:spacing w:before="60" w:after="60"/>
      </w:pPr>
      <w:r>
        <w:rPr>
          <w:rFonts w:ascii="Arial" w:cs="Arial" w:eastAsia="Arial" w:hAnsi="Arial"/>
          <w:b w:val="false"/>
          <w:bCs w:val="false"/>
          <w:color w:val="1A1A2E"/>
          <w:sz w:val="22"/>
          <w:szCs w:val="22"/>
        </w:rPr>
        <w:t xml:space="preserve">Log sampling: high-cardinality PII-risk log streams are sampled at 10% before normalization</w:t>
      </w:r>
    </w:p>
    <w:p>
      <w:pPr>
        <w:pStyle w:val="ListParagraph"/>
        <w:numPr>
          <w:ilvl w:val="0"/>
          <w:numId w:val="2"/>
        </w:numPr>
        <w:spacing w:before="60" w:after="60"/>
      </w:pPr>
      <w:r>
        <w:rPr>
          <w:rFonts w:ascii="Arial" w:cs="Arial" w:eastAsia="Arial" w:hAnsi="Arial"/>
          <w:b w:val="false"/>
          <w:bCs w:val="false"/>
          <w:color w:val="1A1A2E"/>
          <w:sz w:val="22"/>
          <w:szCs w:val="22"/>
        </w:rPr>
        <w:t xml:space="preserve">Validation: a post-scrub audit Lambda runs on 1% of payloads to confirm redaction completeness</w:t>
      </w:r>
    </w:p>
    <w:p>
      <w:pPr>
        <w:spacing w:before="0" w:after="0"/>
      </w:pPr>
      <w:r>
        <w:rPr>
          <w:sz w:val="28"/>
          <w:szCs w:val="28"/>
        </w:rPr>
        <w:t xml:space="preserve"/>
      </w:r>
    </w:p>
    <w:p>
      <w:r>
        <w:br w:type="page"/>
      </w:r>
    </w:p>
    <w:p>
      <w:pPr>
        <w:pStyle w:val="Heading1"/>
        <w:pBdr>
          <w:bottom w:val="single" w:color="2E75B6" w:sz="8" w:space="6"/>
        </w:pBdr>
        <w:spacing w:before="360" w:after="120"/>
      </w:pPr>
      <w:r>
        <w:rPr>
          <w:rFonts w:ascii="Arial" w:cs="Arial" w:eastAsia="Arial" w:hAnsi="Arial"/>
          <w:b/>
          <w:bCs/>
          <w:color w:val="1F4E79"/>
          <w:sz w:val="36"/>
          <w:szCs w:val="36"/>
        </w:rPr>
        <w:t xml:space="preserve">2. Neo4j Knowledge Graph</w:t>
      </w:r>
    </w:p>
    <w:p>
      <w:pPr>
        <w:pStyle w:val="Heading2"/>
        <w:spacing w:before="280" w:after="100"/>
      </w:pPr>
      <w:r>
        <w:rPr>
          <w:rFonts w:ascii="Arial" w:cs="Arial" w:eastAsia="Arial" w:hAnsi="Arial"/>
          <w:b/>
          <w:bCs/>
          <w:color w:val="2E75B6"/>
          <w:sz w:val="28"/>
          <w:szCs w:val="28"/>
        </w:rPr>
        <w:t xml:space="preserve">2.1 Why a Graph Database</w:t>
      </w:r>
    </w:p>
    <w:p>
      <w:pPr>
        <w:spacing w:before="80" w:after="100"/>
      </w:pPr>
      <w:r>
        <w:rPr>
          <w:rFonts w:ascii="Arial" w:cs="Arial" w:eastAsia="Arial" w:hAnsi="Arial"/>
          <w:color w:val="1A1A2E"/>
          <w:sz w:val="22"/>
          <w:szCs w:val="22"/>
        </w:rPr>
        <w:t xml:space="preserve">A distributed system is, structurally, a graph. Services depend on other services. Containers run on hosts. Hosts exist in availability zones. Deployments modify service configurations. Incidents propagate along dependency edges. A relational database or vector store requires expensive JOIN operations or approximate searches to reconstruct these relationships at query time. Neo4j traverses them natively in microseconds.</w:t>
      </w:r>
    </w:p>
    <w:p>
      <w:pPr>
        <w:spacing w:before="80" w:after="100"/>
      </w:pPr>
      <w:r>
        <w:rPr>
          <w:rFonts w:ascii="Arial" w:cs="Arial" w:eastAsia="Arial" w:hAnsi="Arial"/>
          <w:color w:val="1A1A2E"/>
          <w:sz w:val="22"/>
          <w:szCs w:val="22"/>
        </w:rPr>
        <w:t xml:space="preserve">This speed difference is not academic. During an active P1 incident, the AI agent may need to traverse 5–7 hops of dependency to identify blast radius and root cause. With Neo4j, this is a single Cypher query returning in under 10ms. With SQL, it would require recursive CTEs taking seconds — far too slow for a 4-minute investigation target.</w:t>
      </w:r>
    </w:p>
    <w:p>
      <w:pPr>
        <w:pStyle w:val="Heading2"/>
        <w:spacing w:before="280" w:after="100"/>
      </w:pPr>
      <w:r>
        <w:rPr>
          <w:rFonts w:ascii="Arial" w:cs="Arial" w:eastAsia="Arial" w:hAnsi="Arial"/>
          <w:b/>
          <w:bCs/>
          <w:color w:val="2E75B6"/>
          <w:sz w:val="28"/>
          <w:szCs w:val="28"/>
        </w:rPr>
        <w:t xml:space="preserve">2.2 Graph Schema</w:t>
      </w:r>
    </w:p>
    <w:p>
      <w:pPr>
        <w:spacing w:before="80" w:after="100"/>
      </w:pPr>
      <w:r>
        <w:rPr>
          <w:rFonts w:ascii="Arial" w:cs="Arial" w:eastAsia="Arial" w:hAnsi="Arial"/>
          <w:color w:val="1A1A2E"/>
          <w:sz w:val="22"/>
          <w:szCs w:val="22"/>
        </w:rPr>
        <w:t xml:space="preserve">The knowledge graph maintains the following node types and relationship types, updated continuously by the graph writer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22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Node Type</w:t>
            </w:r>
          </w:p>
        </w:tc>
        <w:tc>
          <w:tcPr>
            <w:tcW w:type="dxa" w:w="4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Key Properties</w:t>
            </w:r>
          </w:p>
        </w:tc>
        <w:tc>
          <w:tcPr>
            <w:tcW w:type="dxa" w:w="22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Update Frequency</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name, language, team, sla_tier, version, last_deploy_sha</w:t>
            </w:r>
          </w:p>
        </w:tc>
        <w:tc>
          <w:tcPr>
            <w:tcW w:type="dxa" w:w="2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 deployment event</w:t>
            </w:r>
          </w:p>
        </w:tc>
      </w:tr>
      <w:tr>
        <w:tc>
          <w:tcPr>
            <w:tcW w:type="dxa" w:w="26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Host / Pod</w:t>
            </w:r>
          </w:p>
        </w:tc>
        <w:tc>
          <w:tcPr>
            <w:tcW w:type="dxa" w:w="45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instance_id, region, az, cpu_util, mem_util, kernel_version</w:t>
            </w:r>
          </w:p>
        </w:tc>
        <w:tc>
          <w:tcPr>
            <w:tcW w:type="dxa" w:w="22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Every 2 minutes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Deployment</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commit_sha, deployer, timestamp, change_diff_hash</w:t>
            </w:r>
          </w:p>
        </w:tc>
        <w:tc>
          <w:tcPr>
            <w:tcW w:type="dxa" w:w="2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 deploy event</w:t>
            </w:r>
          </w:p>
        </w:tc>
      </w:tr>
      <w:tr>
        <w:tc>
          <w:tcPr>
            <w:tcW w:type="dxa" w:w="26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Incident</w:t>
            </w:r>
          </w:p>
        </w:tc>
        <w:tc>
          <w:tcPr>
            <w:tcW w:type="dxa" w:w="45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incident_id, severity, start_time, root_cause_sha, status</w:t>
            </w:r>
          </w:p>
        </w:tc>
        <w:tc>
          <w:tcPr>
            <w:tcW w:type="dxa" w:w="22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On alert / resolution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ConfigChange</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change_id, service, param_key, old_value, new_value, actor</w:t>
            </w:r>
          </w:p>
        </w:tc>
        <w:tc>
          <w:tcPr>
            <w:tcW w:type="dxa" w:w="2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 config push</w:t>
            </w:r>
          </w:p>
        </w:tc>
      </w:tr>
      <w:tr>
        <w:tc>
          <w:tcPr>
            <w:tcW w:type="dxa" w:w="26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ExternalDependency</w:t>
            </w:r>
          </w:p>
        </w:tc>
        <w:tc>
          <w:tcPr>
            <w:tcW w:type="dxa" w:w="45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name, type (DNS/API/DB), health_status, latency_p99</w:t>
            </w:r>
          </w:p>
        </w:tc>
        <w:tc>
          <w:tcPr>
            <w:tcW w:type="dxa" w:w="22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Every 5 minutes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AnomalySignal</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signal_id, type, score, affected_service, evidence_refs</w:t>
            </w:r>
          </w:p>
        </w:tc>
        <w:tc>
          <w:tcPr>
            <w:tcW w:type="dxa" w:w="2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 AI detection</w:t>
            </w:r>
          </w:p>
        </w:tc>
      </w:tr>
    </w:tbl>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100"/>
        <w:gridCol w:w="286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Relationship</w:t>
            </w:r>
          </w:p>
        </w:tc>
        <w:tc>
          <w:tcPr>
            <w:tcW w:type="dxa" w:w="2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From</w:t>
            </w:r>
          </w:p>
        </w:tc>
        <w:tc>
          <w:tcPr>
            <w:tcW w:type="dxa" w:w="2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To</w:t>
            </w:r>
          </w:p>
        </w:tc>
        <w:tc>
          <w:tcPr>
            <w:tcW w:type="dxa" w:w="28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Properties</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CALLS</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avg_latency_ms, error_rate, p99_latency</w:t>
            </w:r>
          </w:p>
        </w:tc>
      </w:tr>
      <w:tr>
        <w:tc>
          <w:tcPr>
            <w:tcW w:type="dxa" w:w="23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RUNS_ON</w:t>
            </w:r>
          </w:p>
        </w:tc>
        <w:tc>
          <w:tcPr>
            <w:tcW w:type="dxa" w:w="21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Service</w:t>
            </w:r>
          </w:p>
        </w:tc>
        <w:tc>
          <w:tcPr>
            <w:tcW w:type="dxa" w:w="21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Host/Pod</w:t>
            </w:r>
          </w:p>
        </w:tc>
        <w:tc>
          <w:tcPr>
            <w:tcW w:type="dxa" w:w="28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start_time, resource_request</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DEPLOYED_AS</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Deployment</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deploy_timestamp, strategy</w:t>
            </w:r>
          </w:p>
        </w:tc>
      </w:tr>
      <w:tr>
        <w:tc>
          <w:tcPr>
            <w:tcW w:type="dxa" w:w="23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CAUSED_BY</w:t>
            </w:r>
          </w:p>
        </w:tc>
        <w:tc>
          <w:tcPr>
            <w:tcW w:type="dxa" w:w="21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Incident</w:t>
            </w:r>
          </w:p>
        </w:tc>
        <w:tc>
          <w:tcPr>
            <w:tcW w:type="dxa" w:w="21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Deployment/ConfigChange/Service</w:t>
            </w:r>
          </w:p>
        </w:tc>
        <w:tc>
          <w:tcPr>
            <w:tcW w:type="dxa" w:w="28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confidence_score, evidence</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PROPAGATED_TO</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Incident</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propagation_delay_ms</w:t>
            </w:r>
          </w:p>
        </w:tc>
      </w:tr>
      <w:tr>
        <w:tc>
          <w:tcPr>
            <w:tcW w:type="dxa" w:w="23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DEPENDS_ON</w:t>
            </w:r>
          </w:p>
        </w:tc>
        <w:tc>
          <w:tcPr>
            <w:tcW w:type="dxa" w:w="21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Service</w:t>
            </w:r>
          </w:p>
        </w:tc>
        <w:tc>
          <w:tcPr>
            <w:tcW w:type="dxa" w:w="21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ExternalDependency</w:t>
            </w:r>
          </w:p>
        </w:tc>
        <w:tc>
          <w:tcPr>
            <w:tcW w:type="dxa" w:w="28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criticality: high/medium/low</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PRECEDED</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Incident</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Incident</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time_gap_seconds</w:t>
            </w:r>
          </w:p>
        </w:tc>
      </w:tr>
    </w:tbl>
    <w:p>
      <w:pPr>
        <w:spacing w:before="0" w:after="0"/>
      </w:pPr>
      <w:r>
        <w:rPr>
          <w:sz w:val="14"/>
          <w:szCs w:val="14"/>
        </w:rPr>
        <w:t xml:space="preserve"/>
      </w:r>
    </w:p>
    <w:p>
      <w:pPr>
        <w:pStyle w:val="Heading2"/>
        <w:spacing w:before="280" w:after="100"/>
      </w:pPr>
      <w:r>
        <w:rPr>
          <w:rFonts w:ascii="Arial" w:cs="Arial" w:eastAsia="Arial" w:hAnsi="Arial"/>
          <w:b/>
          <w:bCs/>
          <w:color w:val="2E75B6"/>
          <w:sz w:val="28"/>
          <w:szCs w:val="28"/>
        </w:rPr>
        <w:t xml:space="preserve">2.3 Graph Writer Service</w:t>
      </w:r>
    </w:p>
    <w:p>
      <w:pPr>
        <w:spacing w:before="80" w:after="100"/>
      </w:pPr>
      <w:r>
        <w:rPr>
          <w:rFonts w:ascii="Arial" w:cs="Arial" w:eastAsia="Arial" w:hAnsi="Arial"/>
          <w:color w:val="1A1A2E"/>
          <w:sz w:val="22"/>
          <w:szCs w:val="22"/>
        </w:rPr>
        <w:t xml:space="preserve">The graph writer is a Kafka consumer service (Python 3.12) that reads from the normalized telemetry topics and writes/updates nodes and relationships in Neo4j using Cypher MERGE operations. It is the only service with write access to the graph.</w:t>
      </w:r>
    </w:p>
    <w:p>
      <w:pPr>
        <w:pStyle w:val="Heading3"/>
        <w:spacing w:before="200" w:after="80"/>
      </w:pPr>
      <w:r>
        <w:rPr>
          <w:rFonts w:ascii="Arial" w:cs="Arial" w:eastAsia="Arial" w:hAnsi="Arial"/>
          <w:b/>
          <w:bCs/>
          <w:color w:val="404040"/>
          <w:sz w:val="24"/>
          <w:szCs w:val="24"/>
        </w:rPr>
        <w:t xml:space="preserve">Design Principles</w:t>
      </w:r>
    </w:p>
    <w:p>
      <w:pPr>
        <w:pStyle w:val="ListParagraph"/>
        <w:numPr>
          <w:ilvl w:val="0"/>
          <w:numId w:val="2"/>
        </w:numPr>
        <w:spacing w:before="60" w:after="60"/>
      </w:pPr>
      <w:r>
        <w:rPr>
          <w:rFonts w:ascii="Arial" w:cs="Arial" w:eastAsia="Arial" w:hAnsi="Arial"/>
          <w:b w:val="false"/>
          <w:bCs w:val="false"/>
          <w:color w:val="1A1A2E"/>
          <w:sz w:val="22"/>
          <w:szCs w:val="22"/>
        </w:rPr>
        <w:t xml:space="preserve">MERGE semantics: all writes use MERGE (not CREATE) to ensure idempotency under redelivery</w:t>
      </w:r>
    </w:p>
    <w:p>
      <w:pPr>
        <w:pStyle w:val="ListParagraph"/>
        <w:numPr>
          <w:ilvl w:val="0"/>
          <w:numId w:val="2"/>
        </w:numPr>
        <w:spacing w:before="60" w:after="60"/>
      </w:pPr>
      <w:r>
        <w:rPr>
          <w:rFonts w:ascii="Arial" w:cs="Arial" w:eastAsia="Arial" w:hAnsi="Arial"/>
          <w:b w:val="false"/>
          <w:bCs w:val="false"/>
          <w:color w:val="1A1A2E"/>
          <w:sz w:val="22"/>
          <w:szCs w:val="22"/>
        </w:rPr>
        <w:t xml:space="preserve">Staleness timestamps: every node carries a last_updated_utc property; investigations auto-flag nodes older than 10 minutes</w:t>
      </w:r>
    </w:p>
    <w:p>
      <w:pPr>
        <w:pStyle w:val="ListParagraph"/>
        <w:numPr>
          <w:ilvl w:val="0"/>
          <w:numId w:val="2"/>
        </w:numPr>
        <w:spacing w:before="60" w:after="60"/>
      </w:pPr>
      <w:r>
        <w:rPr>
          <w:rFonts w:ascii="Arial" w:cs="Arial" w:eastAsia="Arial" w:hAnsi="Arial"/>
          <w:b w:val="false"/>
          <w:bCs w:val="false"/>
          <w:color w:val="1A1A2E"/>
          <w:sz w:val="22"/>
          <w:szCs w:val="22"/>
        </w:rPr>
        <w:t xml:space="preserve">Flink for stream processing: Apache Flink on EKS handles windowed aggregations (e.g., 5-minute error rate) before graph writes</w:t>
      </w:r>
    </w:p>
    <w:p>
      <w:pPr>
        <w:pStyle w:val="ListParagraph"/>
        <w:numPr>
          <w:ilvl w:val="0"/>
          <w:numId w:val="2"/>
        </w:numPr>
        <w:spacing w:before="60" w:after="60"/>
      </w:pPr>
      <w:r>
        <w:rPr>
          <w:rFonts w:ascii="Arial" w:cs="Arial" w:eastAsia="Arial" w:hAnsi="Arial"/>
          <w:b w:val="false"/>
          <w:bCs w:val="false"/>
          <w:color w:val="1A1A2E"/>
          <w:sz w:val="22"/>
          <w:szCs w:val="22"/>
        </w:rPr>
        <w:t xml:space="preserve">Batch write mode: non-critical updates are batched in 500ms windows to reduce transaction overhead</w:t>
      </w:r>
    </w:p>
    <w:p>
      <w:pPr>
        <w:pStyle w:val="ListParagraph"/>
        <w:numPr>
          <w:ilvl w:val="0"/>
          <w:numId w:val="2"/>
        </w:numPr>
        <w:spacing w:before="60" w:after="60"/>
      </w:pPr>
      <w:r>
        <w:rPr>
          <w:rFonts w:ascii="Arial" w:cs="Arial" w:eastAsia="Arial" w:hAnsi="Arial"/>
          <w:b w:val="false"/>
          <w:bCs w:val="false"/>
          <w:color w:val="1A1A2E"/>
          <w:sz w:val="22"/>
          <w:szCs w:val="22"/>
        </w:rPr>
        <w:t xml:space="preserve">Circuit breaker: if Neo4j write latency exceeds 500ms p99, the writer falls back to a write-ahead log in S3</w:t>
      </w:r>
    </w:p>
    <w:p>
      <w:pPr>
        <w:pStyle w:val="Heading2"/>
        <w:spacing w:before="280" w:after="100"/>
      </w:pPr>
      <w:r>
        <w:rPr>
          <w:rFonts w:ascii="Arial" w:cs="Arial" w:eastAsia="Arial" w:hAnsi="Arial"/>
          <w:b/>
          <w:bCs/>
          <w:color w:val="2E75B6"/>
          <w:sz w:val="28"/>
          <w:szCs w:val="28"/>
        </w:rPr>
        <w:t xml:space="preserve">2.4 Vector Index &amp; Semantic Search</w:t>
      </w:r>
    </w:p>
    <w:p>
      <w:pPr>
        <w:spacing w:before="80" w:after="100"/>
      </w:pPr>
      <w:r>
        <w:rPr>
          <w:rFonts w:ascii="Arial" w:cs="Arial" w:eastAsia="Arial" w:hAnsi="Arial"/>
          <w:color w:val="1A1A2E"/>
          <w:sz w:val="22"/>
          <w:szCs w:val="22"/>
        </w:rPr>
        <w:t xml:space="preserve">In addition to the structural graph, the platform maintains a vector index using Neo4j's built-in vector search capability. Each Incident node is embedded using text-embedding-3-small (1536 dimensions) on a concatenation of: alert description, root cause narrative, and affected service names. This enables the AI agent to retrieve semantically similar historical incidents during hypothesis generation — a critical input for ranking hypotheses by prior occurrence probability.</w:t>
      </w:r>
    </w:p>
    <w:p>
      <w:pPr>
        <w:pStyle w:val="ListParagraph"/>
        <w:numPr>
          <w:ilvl w:val="0"/>
          <w:numId w:val="2"/>
        </w:numPr>
        <w:spacing w:before="60" w:after="60"/>
      </w:pPr>
      <w:r>
        <w:rPr>
          <w:rFonts w:ascii="Arial" w:cs="Arial" w:eastAsia="Arial" w:hAnsi="Arial"/>
          <w:b w:val="false"/>
          <w:bCs w:val="false"/>
          <w:color w:val="1A1A2E"/>
          <w:sz w:val="22"/>
          <w:szCs w:val="22"/>
        </w:rPr>
        <w:t xml:space="preserve">Embedding model: text-embedding-3-small via OpenAI API</w:t>
      </w:r>
    </w:p>
    <w:p>
      <w:pPr>
        <w:pStyle w:val="ListParagraph"/>
        <w:numPr>
          <w:ilvl w:val="0"/>
          <w:numId w:val="2"/>
        </w:numPr>
        <w:spacing w:before="60" w:after="60"/>
      </w:pPr>
      <w:r>
        <w:rPr>
          <w:rFonts w:ascii="Arial" w:cs="Arial" w:eastAsia="Arial" w:hAnsi="Arial"/>
          <w:b w:val="false"/>
          <w:bCs w:val="false"/>
          <w:color w:val="1A1A2E"/>
          <w:sz w:val="22"/>
          <w:szCs w:val="22"/>
        </w:rPr>
        <w:t xml:space="preserve">Index type: Neo4j HNSW vector index (ef_construction=128, M=16)</w:t>
      </w:r>
    </w:p>
    <w:p>
      <w:pPr>
        <w:pStyle w:val="ListParagraph"/>
        <w:numPr>
          <w:ilvl w:val="0"/>
          <w:numId w:val="2"/>
        </w:numPr>
        <w:spacing w:before="60" w:after="60"/>
      </w:pPr>
      <w:r>
        <w:rPr>
          <w:rFonts w:ascii="Arial" w:cs="Arial" w:eastAsia="Arial" w:hAnsi="Arial"/>
          <w:b w:val="false"/>
          <w:bCs w:val="false"/>
          <w:color w:val="1A1A2E"/>
          <w:sz w:val="22"/>
          <w:szCs w:val="22"/>
        </w:rPr>
        <w:t xml:space="preserve">Similarity metric: cosine similarity</w:t>
      </w:r>
    </w:p>
    <w:p>
      <w:pPr>
        <w:pStyle w:val="ListParagraph"/>
        <w:numPr>
          <w:ilvl w:val="0"/>
          <w:numId w:val="2"/>
        </w:numPr>
        <w:spacing w:before="60" w:after="60"/>
      </w:pPr>
      <w:r>
        <w:rPr>
          <w:rFonts w:ascii="Arial" w:cs="Arial" w:eastAsia="Arial" w:hAnsi="Arial"/>
          <w:b w:val="false"/>
          <w:bCs w:val="false"/>
          <w:color w:val="1A1A2E"/>
          <w:sz w:val="22"/>
          <w:szCs w:val="22"/>
        </w:rPr>
        <w:t xml:space="preserve">Top-K retrieval: agent requests top-5 similar incidents per investigation</w:t>
      </w:r>
    </w:p>
    <w:p>
      <w:pPr>
        <w:spacing w:before="0" w:after="0"/>
      </w:pPr>
      <w:r>
        <w:rPr>
          <w:sz w:val="28"/>
          <w:szCs w:val="28"/>
        </w:rPr>
        <w:t xml:space="preserve"/>
      </w:r>
    </w:p>
    <w:p>
      <w:r>
        <w:br w:type="page"/>
      </w:r>
    </w:p>
    <w:p>
      <w:pPr>
        <w:pStyle w:val="Heading1"/>
        <w:pBdr>
          <w:bottom w:val="single" w:color="2E75B6" w:sz="8" w:space="6"/>
        </w:pBdr>
        <w:spacing w:before="360" w:after="120"/>
      </w:pPr>
      <w:r>
        <w:rPr>
          <w:rFonts w:ascii="Arial" w:cs="Arial" w:eastAsia="Arial" w:hAnsi="Arial"/>
          <w:b/>
          <w:bCs/>
          <w:color w:val="1F4E79"/>
          <w:sz w:val="36"/>
          <w:szCs w:val="36"/>
        </w:rPr>
        <w:t xml:space="preserve">3. AI Reasoning Engine</w:t>
      </w:r>
    </w:p>
    <w:p>
      <w:pPr>
        <w:pStyle w:val="Heading2"/>
        <w:spacing w:before="280" w:after="100"/>
      </w:pPr>
      <w:r>
        <w:rPr>
          <w:rFonts w:ascii="Arial" w:cs="Arial" w:eastAsia="Arial" w:hAnsi="Arial"/>
          <w:b/>
          <w:bCs/>
          <w:color w:val="2E75B6"/>
          <w:sz w:val="28"/>
          <w:szCs w:val="28"/>
        </w:rPr>
        <w:t xml:space="preserve">3.1 Agent Architecture</w:t>
      </w:r>
    </w:p>
    <w:p>
      <w:pPr>
        <w:spacing w:before="80" w:after="100"/>
      </w:pPr>
      <w:r>
        <w:rPr>
          <w:rFonts w:ascii="Arial" w:cs="Arial" w:eastAsia="Arial" w:hAnsi="Arial"/>
          <w:color w:val="1A1A2E"/>
          <w:sz w:val="22"/>
          <w:szCs w:val="22"/>
        </w:rPr>
        <w:t xml:space="preserve">The SRE investigation agent is the cognitive core of Part 1. Built on LangChain 0.3+ with LangGraph for orchestration, it implements a hypothesis-driven investigation loop that mirrors the mental model of a senior SRE: observe the alert, form ranked hypotheses, gather evidence per hypothesis, eliminate false positives, and surface a structured root cause with recommended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EEAF1" w:val="clear"/>
            <w:tcMar>
              <w:top w:type="dxa" w:w="160"/>
              <w:left w:type="dxa" w:w="200"/>
              <w:bottom w:type="dxa" w:w="160"/>
              <w:right w:type="dxa" w:w="200"/>
            </w:tcMar>
          </w:tcPr>
          <w:p>
            <w:pPr>
              <w:spacing w:before="0" w:after="80"/>
            </w:pPr>
            <w:r>
              <w:rPr>
                <w:rFonts w:ascii="Arial" w:cs="Arial" w:eastAsia="Arial" w:hAnsi="Arial"/>
                <w:b/>
                <w:bCs/>
                <w:color w:val="1F4E79"/>
                <w:sz w:val="22"/>
                <w:szCs w:val="22"/>
              </w:rPr>
              <w:t xml:space="preserve">AGENT DESIGN PHILOSOPHY</w:t>
            </w:r>
          </w:p>
          <w:p>
            <w:pPr>
              <w:spacing w:before="0" w:after="0"/>
            </w:pPr>
            <w:r>
              <w:rPr>
                <w:rFonts w:ascii="Arial" w:cs="Arial" w:eastAsia="Arial" w:hAnsi="Arial"/>
                <w:color w:val="1A1A2E"/>
                <w:sz w:val="21"/>
                <w:szCs w:val="21"/>
              </w:rPr>
              <w:t xml:space="preserve">The agent does not attempt to guess root causes from alert text alone. Every conclusion it reaches must be grounded in: (a) graph traversal evidence from Neo4j, (b) telemetry data from the ingestion layer, and/or (c) real-time external intelligence from Tavily. Ungrounded conclusions are suppressed by the confidence scoring gate.</w:t>
            </w:r>
          </w:p>
        </w:tc>
      </w:tr>
    </w:tbl>
    <w:p>
      <w:pPr>
        <w:spacing w:before="0" w:after="0"/>
      </w:pPr>
      <w:r>
        <w:rPr>
          <w:sz w:val="14"/>
          <w:szCs w:val="14"/>
        </w:rPr>
        <w:t xml:space="preserve"/>
      </w:r>
    </w:p>
    <w:p>
      <w:pPr>
        <w:pStyle w:val="Heading2"/>
        <w:spacing w:before="280" w:after="100"/>
      </w:pPr>
      <w:r>
        <w:rPr>
          <w:rFonts w:ascii="Arial" w:cs="Arial" w:eastAsia="Arial" w:hAnsi="Arial"/>
          <w:b/>
          <w:bCs/>
          <w:color w:val="2E75B6"/>
          <w:sz w:val="28"/>
          <w:szCs w:val="28"/>
        </w:rPr>
        <w:t xml:space="preserve">3.2 Investigation Loop — Step by Step</w:t>
      </w:r>
    </w:p>
    <w:p>
      <w:pPr>
        <w:spacing w:before="80" w:after="100"/>
      </w:pPr>
      <w:r>
        <w:rPr>
          <w:rFonts w:ascii="Arial" w:cs="Arial" w:eastAsia="Arial" w:hAnsi="Arial"/>
          <w:color w:val="1A1A2E"/>
          <w:sz w:val="22"/>
          <w:szCs w:val="22"/>
        </w:rPr>
        <w:t xml:space="preserve">The LangGraph orchestration defines the following node sequence for each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400"/>
        <w:gridCol w:w="3560"/>
      </w:tblGrid>
      <w:tr>
        <w:trPr>
          <w:tblHeader/>
        </w:trPr>
        <w:tc>
          <w:tcPr>
            <w:tcW w:type="dxa" w:w="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2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Agent Action</w:t>
            </w:r>
          </w:p>
        </w:tc>
        <w:tc>
          <w:tcPr>
            <w:tcW w:type="dxa" w:w="2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Tools Used</w:t>
            </w:r>
          </w:p>
        </w:tc>
        <w:tc>
          <w:tcPr>
            <w:tcW w:type="dxa" w:w="35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Output</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Context Fetch</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Retrieve alert metadata, affected service node, and its immediate graph neighborhood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Neo4j MCP / Cypher</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 context object</w:t>
            </w:r>
          </w:p>
        </w:tc>
      </w:tr>
      <w:tr>
        <w:tc>
          <w:tcPr>
            <w:tcW w:type="dxa" w:w="6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2. Historical Retrieval</w:t>
            </w:r>
          </w:p>
        </w:tc>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Embed alert text; retrieve top-5 semantically similar past incidents</w:t>
            </w:r>
          </w:p>
        </w:tc>
        <w:tc>
          <w:tcPr>
            <w:tcW w:type="dxa" w:w="2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Neo4j vector index</w:t>
            </w:r>
          </w:p>
        </w:tc>
        <w:tc>
          <w:tcPr>
            <w:tcW w:type="dxa" w:w="35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Historical incident list</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Hypothesis Generation</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Generate 3–5 ranked hypotheses with prior probability estimates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GPT-4o (temp=0.1)</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Ranked hypothesis list</w:t>
            </w:r>
          </w:p>
        </w:tc>
      </w:tr>
      <w:tr>
        <w:tc>
          <w:tcPr>
            <w:tcW w:type="dxa" w:w="6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4. Evidence Collection</w:t>
            </w:r>
          </w:p>
        </w:tc>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Per hypothesis: generate + execute Cypher queries; fetch corroborating telemetry</w:t>
            </w:r>
          </w:p>
        </w:tc>
        <w:tc>
          <w:tcPr>
            <w:tcW w:type="dxa" w:w="2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Neo4j + Airbyte data</w:t>
            </w:r>
          </w:p>
        </w:tc>
        <w:tc>
          <w:tcPr>
            <w:tcW w:type="dxa" w:w="35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Evidence bundle per hypothesis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External Intelligence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Query Tavily for CVEs, vendor status pages, runbooks relevant to failing service/stack</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Tavily API</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External context snippets</w:t>
            </w:r>
          </w:p>
        </w:tc>
      </w:tr>
      <w:tr>
        <w:tc>
          <w:tcPr>
            <w:tcW w:type="dxa" w:w="6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6. Evidence Synthesis</w:t>
            </w:r>
          </w:p>
        </w:tc>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Weigh evidence; assign confidence scores; eliminate low-confidence hypotheses</w:t>
            </w:r>
          </w:p>
        </w:tc>
        <w:tc>
          <w:tcPr>
            <w:tcW w:type="dxa" w:w="2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GPT-4o (temp=0.1)</w:t>
            </w:r>
          </w:p>
        </w:tc>
        <w:tc>
          <w:tcPr>
            <w:tcW w:type="dxa" w:w="35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Ranked conclusions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 Root Cause Narrative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Generate natural-language RCA with data citations and blast radius map</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GPT-4o (temp=0.1)</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RCA narrative + evidence refs</w:t>
            </w:r>
          </w:p>
        </w:tc>
      </w:tr>
      <w:tr>
        <w:tc>
          <w:tcPr>
            <w:tcW w:type="dxa" w:w="6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8. NBA Recommendations</w:t>
            </w:r>
          </w:p>
        </w:tc>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Propose ranked remediation actions with risk/impact estimates</w:t>
            </w:r>
          </w:p>
        </w:tc>
        <w:tc>
          <w:tcPr>
            <w:tcW w:type="dxa" w:w="2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GPT-4o (temp=0.1)</w:t>
            </w:r>
          </w:p>
        </w:tc>
        <w:tc>
          <w:tcPr>
            <w:tcW w:type="dxa" w:w="35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Action list with metadata</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 Output Serialization</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Serialize complete investigation to structured JSON; write Incident node to graph</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Neo4j write / JSON</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Investigation JSON object</w:t>
            </w:r>
          </w:p>
        </w:tc>
      </w:tr>
    </w:tbl>
    <w:p>
      <w:pPr>
        <w:spacing w:before="0" w:after="0"/>
      </w:pPr>
      <w:r>
        <w:rPr>
          <w:sz w:val="14"/>
          <w:szCs w:val="14"/>
        </w:rPr>
        <w:t xml:space="preserve"/>
      </w:r>
    </w:p>
    <w:p>
      <w:pPr>
        <w:pStyle w:val="Heading2"/>
        <w:spacing w:before="280" w:after="100"/>
      </w:pPr>
      <w:r>
        <w:rPr>
          <w:rFonts w:ascii="Arial" w:cs="Arial" w:eastAsia="Arial" w:hAnsi="Arial"/>
          <w:b/>
          <w:bCs/>
          <w:color w:val="2E75B6"/>
          <w:sz w:val="28"/>
          <w:szCs w:val="28"/>
        </w:rPr>
        <w:t xml:space="preserve">3.3 OpenAI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400"/>
        <w:gridCol w:w="1400"/>
        <w:gridCol w:w="19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Function</w:t>
            </w:r>
          </w:p>
        </w:tc>
        <w:tc>
          <w:tcPr>
            <w:tcW w:type="dxa" w:w="1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Model</w:t>
            </w:r>
          </w:p>
        </w:tc>
        <w:tc>
          <w:tcPr>
            <w:tcW w:type="dxa" w:w="1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Temperature</w:t>
            </w:r>
          </w:p>
        </w:tc>
        <w:tc>
          <w:tcPr>
            <w:tcW w:type="dxa" w:w="1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Max Tokens</w:t>
            </w:r>
          </w:p>
        </w:tc>
        <w:tc>
          <w:tcPr>
            <w:tcW w:type="dxa" w:w="19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Output Mode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Hypothesis generation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gpt-4o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2,000</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Structured JSON</w:t>
            </w:r>
          </w:p>
        </w:tc>
      </w:tr>
      <w:tr>
        <w:tc>
          <w:tcPr>
            <w:tcW w:type="dxa" w:w="30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Cypher query synthesis</w:t>
            </w:r>
          </w:p>
        </w:tc>
        <w:tc>
          <w:tcPr>
            <w:tcW w:type="dxa" w:w="16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gpt-4o</w:t>
            </w:r>
          </w:p>
        </w:tc>
        <w:tc>
          <w:tcPr>
            <w:tcW w:type="dxa" w:w="1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0.0</w:t>
            </w:r>
          </w:p>
        </w:tc>
        <w:tc>
          <w:tcPr>
            <w:tcW w:type="dxa" w:w="1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500</w:t>
            </w:r>
          </w:p>
        </w:tc>
        <w:tc>
          <w:tcPr>
            <w:tcW w:type="dxa" w:w="19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Raw Cypher string</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Evidence synthesis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gpt-4o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3,000</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Structured JSON</w:t>
            </w:r>
          </w:p>
        </w:tc>
      </w:tr>
      <w:tr>
        <w:tc>
          <w:tcPr>
            <w:tcW w:type="dxa" w:w="30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NBA recommendations</w:t>
            </w:r>
          </w:p>
        </w:tc>
        <w:tc>
          <w:tcPr>
            <w:tcW w:type="dxa" w:w="16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gpt-4o</w:t>
            </w:r>
          </w:p>
        </w:tc>
        <w:tc>
          <w:tcPr>
            <w:tcW w:type="dxa" w:w="1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0.1</w:t>
            </w:r>
          </w:p>
        </w:tc>
        <w:tc>
          <w:tcPr>
            <w:tcW w:type="dxa" w:w="1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2,000</w:t>
            </w:r>
          </w:p>
        </w:tc>
        <w:tc>
          <w:tcPr>
            <w:tcW w:type="dxa" w:w="19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Structured JSON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Post-incident narrative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gpt-4o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0.7</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1,500</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Markdown prose</w:t>
            </w:r>
          </w:p>
        </w:tc>
      </w:tr>
      <w:tr>
        <w:tc>
          <w:tcPr>
            <w:tcW w:type="dxa" w:w="30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Alert embedding</w:t>
            </w:r>
          </w:p>
        </w:tc>
        <w:tc>
          <w:tcPr>
            <w:tcW w:type="dxa" w:w="16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text-embedding-3-small</w:t>
            </w:r>
          </w:p>
        </w:tc>
        <w:tc>
          <w:tcPr>
            <w:tcW w:type="dxa" w:w="1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N/A</w:t>
            </w:r>
          </w:p>
        </w:tc>
        <w:tc>
          <w:tcPr>
            <w:tcW w:type="dxa" w:w="1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N/A</w:t>
            </w:r>
          </w:p>
        </w:tc>
        <w:tc>
          <w:tcPr>
            <w:tcW w:type="dxa" w:w="19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1536-dim vector</w:t>
            </w:r>
          </w:p>
        </w:tc>
      </w:tr>
    </w:tbl>
    <w:p>
      <w:pPr>
        <w:spacing w:before="0" w:after="0"/>
      </w:pPr>
      <w:r>
        <w:rPr>
          <w:sz w:val="14"/>
          <w:szCs w:val="14"/>
        </w:rPr>
        <w:t xml:space="preserve"/>
      </w:r>
    </w:p>
    <w:p>
      <w:pPr>
        <w:pStyle w:val="Heading2"/>
        <w:spacing w:before="280" w:after="100"/>
      </w:pPr>
      <w:r>
        <w:rPr>
          <w:rFonts w:ascii="Arial" w:cs="Arial" w:eastAsia="Arial" w:hAnsi="Arial"/>
          <w:b/>
          <w:bCs/>
          <w:color w:val="2E75B6"/>
          <w:sz w:val="28"/>
          <w:szCs w:val="28"/>
        </w:rPr>
        <w:t xml:space="preserve">3.4 Tavily Integration — Real-Time External Intelligence</w:t>
      </w:r>
    </w:p>
    <w:p>
      <w:pPr>
        <w:spacing w:before="80" w:after="100"/>
      </w:pPr>
      <w:r>
        <w:rPr>
          <w:rFonts w:ascii="Arial" w:cs="Arial" w:eastAsia="Arial" w:hAnsi="Arial"/>
          <w:color w:val="1A1A2E"/>
          <w:sz w:val="22"/>
          <w:szCs w:val="22"/>
        </w:rPr>
        <w:t xml:space="preserve">Tavily is called during Step 5 (External Intelligence) of the investigation loop. The agent synthesizes a targeted search query from the failing service name, error signatures, and stack version, then retrieves current intelligence from: CVE databases, AWS/GCP/Azure service health pages, vendor documentation, public runbook repositories, and Stack Overflow.</w:t>
      </w:r>
    </w:p>
    <w:p>
      <w:pPr>
        <w:pStyle w:val="ListParagraph"/>
        <w:numPr>
          <w:ilvl w:val="0"/>
          <w:numId w:val="2"/>
        </w:numPr>
        <w:spacing w:before="60" w:after="60"/>
      </w:pPr>
      <w:r>
        <w:rPr>
          <w:rFonts w:ascii="Arial" w:cs="Arial" w:eastAsia="Arial" w:hAnsi="Arial"/>
          <w:b w:val="false"/>
          <w:bCs w:val="false"/>
          <w:color w:val="1A1A2E"/>
          <w:sz w:val="22"/>
          <w:szCs w:val="22"/>
        </w:rPr>
        <w:t xml:space="preserve">Tavily zero-data-retention policy: no query content or results are stored outside the investigation context</w:t>
      </w:r>
    </w:p>
    <w:p>
      <w:pPr>
        <w:pStyle w:val="ListParagraph"/>
        <w:numPr>
          <w:ilvl w:val="0"/>
          <w:numId w:val="2"/>
        </w:numPr>
        <w:spacing w:before="60" w:after="60"/>
      </w:pPr>
      <w:r>
        <w:rPr>
          <w:rFonts w:ascii="Arial" w:cs="Arial" w:eastAsia="Arial" w:hAnsi="Arial"/>
          <w:b w:val="false"/>
          <w:bCs w:val="false"/>
          <w:color w:val="1A1A2E"/>
          <w:sz w:val="22"/>
          <w:szCs w:val="22"/>
        </w:rPr>
        <w:t xml:space="preserve">Rate limiting: maximum 3 Tavily calls per investigation to control cost and latency</w:t>
      </w:r>
    </w:p>
    <w:p>
      <w:pPr>
        <w:pStyle w:val="ListParagraph"/>
        <w:numPr>
          <w:ilvl w:val="0"/>
          <w:numId w:val="2"/>
        </w:numPr>
        <w:spacing w:before="60" w:after="60"/>
      </w:pPr>
      <w:r>
        <w:rPr>
          <w:rFonts w:ascii="Arial" w:cs="Arial" w:eastAsia="Arial" w:hAnsi="Arial"/>
          <w:b w:val="false"/>
          <w:bCs w:val="false"/>
          <w:color w:val="1A1A2E"/>
          <w:sz w:val="22"/>
          <w:szCs w:val="22"/>
        </w:rPr>
        <w:t xml:space="preserve">Query construction: GPT-4o generates the search queries (temp=0.0) to maximize relevance</w:t>
      </w:r>
    </w:p>
    <w:p>
      <w:pPr>
        <w:pStyle w:val="ListParagraph"/>
        <w:numPr>
          <w:ilvl w:val="0"/>
          <w:numId w:val="2"/>
        </w:numPr>
        <w:spacing w:before="60" w:after="60"/>
      </w:pPr>
      <w:r>
        <w:rPr>
          <w:rFonts w:ascii="Arial" w:cs="Arial" w:eastAsia="Arial" w:hAnsi="Arial"/>
          <w:b w:val="false"/>
          <w:bCs w:val="false"/>
          <w:color w:val="1A1A2E"/>
          <w:sz w:val="22"/>
          <w:szCs w:val="22"/>
        </w:rPr>
        <w:t xml:space="preserve">Freshness filter: results older than 30 days are down-weighted unless querying for historical CVE data</w:t>
      </w:r>
    </w:p>
    <w:p>
      <w:pPr>
        <w:pStyle w:val="Heading2"/>
        <w:spacing w:before="280" w:after="100"/>
      </w:pPr>
      <w:r>
        <w:rPr>
          <w:rFonts w:ascii="Arial" w:cs="Arial" w:eastAsia="Arial" w:hAnsi="Arial"/>
          <w:b/>
          <w:bCs/>
          <w:color w:val="2E75B6"/>
          <w:sz w:val="28"/>
          <w:szCs w:val="28"/>
        </w:rPr>
        <w:t xml:space="preserve">3.5 Confidence Scoring &amp; Human-in-the-Loop Gates</w:t>
      </w:r>
    </w:p>
    <w:p>
      <w:pPr>
        <w:spacing w:before="80" w:after="100"/>
      </w:pPr>
      <w:r>
        <w:rPr>
          <w:rFonts w:ascii="Arial" w:cs="Arial" w:eastAsia="Arial" w:hAnsi="Arial"/>
          <w:color w:val="1A1A2E"/>
          <w:sz w:val="22"/>
          <w:szCs w:val="22"/>
        </w:rPr>
        <w:t xml:space="preserve">The agent assigns a confidence score (0.0–1.0) to each root cause conclusion. This score gates autonomous vs. human-reviewed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25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Confidence Band</w:t>
            </w:r>
          </w:p>
        </w:tc>
        <w:tc>
          <w:tcPr>
            <w:tcW w:type="dxa" w:w="1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Score Range</w:t>
            </w:r>
          </w:p>
        </w:tc>
        <w:tc>
          <w:tcPr>
            <w:tcW w:type="dxa" w:w="2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Agent Behavior</w:t>
            </w:r>
          </w:p>
        </w:tc>
        <w:tc>
          <w:tcPr>
            <w:tcW w:type="dxa" w:w="25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Human Action Required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 Confidence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0.85 – 1.00</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autonomous investigation + NBA auto-proposed</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Optional review only</w:t>
            </w:r>
          </w:p>
        </w:tc>
      </w:tr>
      <w:tr>
        <w:tc>
          <w:tcPr>
            <w:tcW w:type="dxa" w:w="2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Medium Confidence</w:t>
            </w:r>
          </w:p>
        </w:tc>
        <w:tc>
          <w:tcPr>
            <w:tcW w:type="dxa" w:w="16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0.60 – 0.84</w:t>
            </w:r>
          </w:p>
        </w:tc>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Investigation complete; auto-remediation blocked</w:t>
            </w:r>
          </w:p>
        </w:tc>
        <w:tc>
          <w:tcPr>
            <w:tcW w:type="dxa" w:w="25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Engineer reviews before action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 Confidence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0.40 – 0.59</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Partial investigation; flags gaps in evidence</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Engineer completes investigation</w:t>
            </w:r>
          </w:p>
        </w:tc>
      </w:tr>
      <w:tr>
        <w:tc>
          <w:tcPr>
            <w:tcW w:type="dxa" w:w="2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Insufficient Evidence</w:t>
            </w:r>
          </w:p>
        </w:tc>
        <w:tc>
          <w:tcPr>
            <w:tcW w:type="dxa" w:w="16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&lt; 0.40</w:t>
            </w:r>
          </w:p>
        </w:tc>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Investigation aborted; raw evidence surfaced</w:t>
            </w:r>
          </w:p>
        </w:tc>
        <w:tc>
          <w:tcPr>
            <w:tcW w:type="dxa" w:w="25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Full manual investigation</w:t>
            </w:r>
          </w:p>
        </w:tc>
      </w:tr>
    </w:tbl>
    <w:p>
      <w:pPr>
        <w:spacing w:before="0" w:after="0"/>
      </w:pPr>
      <w:r>
        <w:rPr>
          <w:sz w:val="14"/>
          <w:szCs w:val="14"/>
        </w:rPr>
        <w:t xml:space="preserve"/>
      </w:r>
    </w:p>
    <w:p>
      <w:pPr>
        <w:spacing w:before="80" w:after="100"/>
      </w:pPr>
      <w:r>
        <w:rPr>
          <w:rFonts w:ascii="Arial" w:cs="Arial" w:eastAsia="Arial" w:hAnsi="Arial"/>
          <w:color w:val="1A1A2E"/>
          <w:sz w:val="22"/>
          <w:szCs w:val="22"/>
        </w:rPr>
        <w:t xml:space="preserve">Confidence is computed as a weighted average of: evidence density (number of corroborating graph edges), hypothesis elimination rate (how many alternatives were ruled out), historical precedent score (similarity to past incidents), and Tavily corroboration (external sources confirming the pattern).</w:t>
      </w:r>
    </w:p>
    <w:p>
      <w:pPr>
        <w:spacing w:before="0" w:after="0"/>
      </w:pPr>
      <w:r>
        <w:rPr>
          <w:sz w:val="28"/>
          <w:szCs w:val="28"/>
        </w:rPr>
        <w:t xml:space="preserve"/>
      </w:r>
    </w:p>
    <w:p>
      <w:r>
        <w:br w:type="page"/>
      </w:r>
    </w:p>
    <w:p>
      <w:pPr>
        <w:pStyle w:val="Heading1"/>
        <w:pBdr>
          <w:bottom w:val="single" w:color="2E75B6" w:sz="8" w:space="6"/>
        </w:pBdr>
        <w:spacing w:before="360" w:after="120"/>
      </w:pPr>
      <w:r>
        <w:rPr>
          <w:rFonts w:ascii="Arial" w:cs="Arial" w:eastAsia="Arial" w:hAnsi="Arial"/>
          <w:b/>
          <w:bCs/>
          <w:color w:val="1F4E79"/>
          <w:sz w:val="36"/>
          <w:szCs w:val="36"/>
        </w:rPr>
        <w:t xml:space="preserve">4. Investigation JSON Output Schema</w:t>
      </w:r>
    </w:p>
    <w:p>
      <w:pPr>
        <w:spacing w:before="80" w:after="100"/>
      </w:pPr>
      <w:r>
        <w:rPr>
          <w:rFonts w:ascii="Arial" w:cs="Arial" w:eastAsia="Arial" w:hAnsi="Arial"/>
          <w:color w:val="1A1A2E"/>
          <w:sz w:val="22"/>
          <w:szCs w:val="22"/>
        </w:rPr>
        <w:t xml:space="preserve">This is the sole interface between Part 1 and Part 2. Both teams should agree on and freeze this schema at the start of Sprint 1. Part 2 can mock this output immediately to develop the API and dashboard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1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investigation_id</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Unique investigation identifier</w:t>
            </w:r>
          </w:p>
        </w:tc>
      </w:tr>
      <w:tr>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alert_id</w:t>
            </w:r>
          </w:p>
        </w:tc>
        <w:tc>
          <w:tcPr>
            <w:tcW w:type="dxa" w:w="1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1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Source alert identifier (PagerDuty/CloudWatch/etc.)</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created_at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ISO8601</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Timestamp of investigation start</w:t>
            </w:r>
          </w:p>
        </w:tc>
      </w:tr>
      <w:tr>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completed_at</w:t>
            </w:r>
          </w:p>
        </w:tc>
        <w:tc>
          <w:tcPr>
            <w:tcW w:type="dxa" w:w="1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ISO8601</w:t>
            </w:r>
          </w:p>
        </w:tc>
        <w:tc>
          <w:tcPr>
            <w:tcW w:type="dxa" w:w="51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Timestamp of investigation completion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status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completed | partial | aborted</w:t>
            </w:r>
          </w:p>
        </w:tc>
      </w:tr>
      <w:tr>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confidence_score</w:t>
            </w:r>
          </w:p>
        </w:tc>
        <w:tc>
          <w:tcPr>
            <w:tcW w:type="dxa" w:w="1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float</w:t>
            </w:r>
          </w:p>
        </w:tc>
        <w:tc>
          <w:tcPr>
            <w:tcW w:type="dxa" w:w="51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0.0–1.0 overall confidence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affected_services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 of service names in blast radius</w:t>
            </w:r>
          </w:p>
        </w:tc>
      </w:tr>
      <w:tr>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root_cause</w:t>
            </w:r>
          </w:p>
        </w:tc>
        <w:tc>
          <w:tcPr>
            <w:tcW w:type="dxa" w:w="1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object</w:t>
            </w:r>
          </w:p>
        </w:tc>
        <w:tc>
          <w:tcPr>
            <w:tcW w:type="dxa" w:w="51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Primary conclusion: {description, evidence_refs[], graph_path[]}</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hypotheses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object[]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evaluated hypotheses with scores and evidence</w:t>
            </w:r>
          </w:p>
        </w:tc>
      </w:tr>
      <w:tr>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recommendations</w:t>
            </w:r>
          </w:p>
        </w:tc>
        <w:tc>
          <w:tcPr>
            <w:tcW w:type="dxa" w:w="1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object[]</w:t>
            </w:r>
          </w:p>
        </w:tc>
        <w:tc>
          <w:tcPr>
            <w:tcW w:type="dxa" w:w="51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Ranked NBA actions: {action, risk, estimated_impact, catalog_approved}</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external_sources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object[]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Tavily citations: {url, title, relevance_score}</w:t>
            </w:r>
          </w:p>
        </w:tc>
      </w:tr>
      <w:tr>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graph_snapshot_url</w:t>
            </w:r>
          </w:p>
        </w:tc>
        <w:tc>
          <w:tcPr>
            <w:tcW w:type="dxa" w:w="1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1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S3 URL to Neo4j subgraph export at investigation time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narrative_summary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Markdown prose summary for human readability</w:t>
            </w:r>
          </w:p>
        </w:tc>
      </w:tr>
      <w:tr>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requires_human_review</w:t>
            </w:r>
          </w:p>
        </w:tc>
        <w:tc>
          <w:tcPr>
            <w:tcW w:type="dxa" w:w="1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51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True if confidence &lt; 0.85</w:t>
            </w:r>
          </w:p>
        </w:tc>
      </w:tr>
    </w:tbl>
    <w:p>
      <w:pPr>
        <w:spacing w:before="0" w:after="0"/>
      </w:pPr>
      <w:r>
        <w:rPr>
          <w:sz w:val="28"/>
          <w:szCs w:val="28"/>
        </w:rPr>
        <w:t xml:space="preserve"/>
      </w:r>
    </w:p>
    <w:p>
      <w:r>
        <w:br w:type="page"/>
      </w:r>
    </w:p>
    <w:p>
      <w:pPr>
        <w:pStyle w:val="Heading1"/>
        <w:pBdr>
          <w:bottom w:val="single" w:color="2E75B6" w:sz="8" w:space="6"/>
        </w:pBdr>
        <w:spacing w:before="360" w:after="120"/>
      </w:pPr>
      <w:r>
        <w:rPr>
          <w:rFonts w:ascii="Arial" w:cs="Arial" w:eastAsia="Arial" w:hAnsi="Arial"/>
          <w:b/>
          <w:bCs/>
          <w:color w:val="1F4E79"/>
          <w:sz w:val="36"/>
          <w:szCs w:val="36"/>
        </w:rPr>
        <w:t xml:space="preserve">5. AWS Infrastructure for Part 1</w:t>
      </w:r>
    </w:p>
    <w:p>
      <w:pPr>
        <w:pStyle w:val="Heading2"/>
        <w:spacing w:before="280" w:after="100"/>
      </w:pPr>
      <w:r>
        <w:rPr>
          <w:rFonts w:ascii="Arial" w:cs="Arial" w:eastAsia="Arial" w:hAnsi="Arial"/>
          <w:b/>
          <w:bCs/>
          <w:color w:val="2E75B6"/>
          <w:sz w:val="28"/>
          <w:szCs w:val="28"/>
        </w:rPr>
        <w:t xml:space="preserve">5.1 Core AWS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AWS Service</w:t>
            </w:r>
          </w:p>
        </w:tc>
        <w:tc>
          <w:tcPr>
            <w:tcW w:type="dxa" w:w="3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Role in Part 1</w:t>
            </w:r>
          </w:p>
        </w:tc>
        <w:tc>
          <w:tcPr>
            <w:tcW w:type="dxa" w:w="33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Configuration 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Amazon EKS</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Runs: Airbyte workers, OTel Collector DaemonSet, graph writer, Kafka/Flink, SRE agent</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3-node managed node group (m5.2xlarge); Spot for non-critical workers</w:t>
            </w:r>
          </w:p>
        </w:tc>
      </w:tr>
      <w:tr>
        <w:tc>
          <w:tcPr>
            <w:tcW w:type="dxa" w:w="2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Amazon MSK (Kafka)</w:t>
            </w:r>
          </w:p>
        </w:tc>
        <w:tc>
          <w:tcPr>
            <w:tcW w:type="dxa" w:w="36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Message bus between OTel Collector, Airbyte, and graph writer</w:t>
            </w:r>
          </w:p>
        </w:tc>
        <w:tc>
          <w:tcPr>
            <w:tcW w:type="dxa" w:w="33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3-broker cluster; 7-day retention; topic-level encryption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Amazon S3</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Airbyte staging bucket; write-ahead log; graph snapshots; investigation archives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S3 Intelligent-Tiering; versioning enabled; CloudTrail logging</w:t>
            </w:r>
          </w:p>
        </w:tc>
      </w:tr>
      <w:tr>
        <w:tc>
          <w:tcPr>
            <w:tcW w:type="dxa" w:w="2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AWS Secrets Manager</w:t>
            </w:r>
          </w:p>
        </w:tc>
        <w:tc>
          <w:tcPr>
            <w:tcW w:type="dxa" w:w="36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All credentials: OpenAI API key, Tavily API key, Neo4j URI/credentials</w:t>
            </w:r>
          </w:p>
        </w:tc>
        <w:tc>
          <w:tcPr>
            <w:tcW w:type="dxa" w:w="33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90-day auto-rotation via Lambda; no secrets in environment variables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Amazon CloudWatch</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health monitoring; Airbyte sync health alerts; agent queue depth</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 metrics namespace: sre-platform/part1</w:t>
            </w:r>
          </w:p>
        </w:tc>
      </w:tr>
      <w:tr>
        <w:tc>
          <w:tcPr>
            <w:tcW w:type="dxa" w:w="24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Amazon Bedrock</w:t>
            </w:r>
          </w:p>
        </w:tc>
        <w:tc>
          <w:tcPr>
            <w:tcW w:type="dxa" w:w="36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LLM fallback if OpenAI API unavailable (Claude 3.5 Sonnet via LiteLLM)</w:t>
            </w:r>
          </w:p>
        </w:tc>
        <w:tc>
          <w:tcPr>
            <w:tcW w:type="dxa" w:w="33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Standby; activated via feature flag in Secrets Manager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AWS X-Ray</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Distributed tracing for the agent investigation pipeline itself</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Traces agent steps for latency profiling and debugging</w:t>
            </w:r>
          </w:p>
        </w:tc>
      </w:tr>
    </w:tbl>
    <w:p>
      <w:pPr>
        <w:spacing w:before="0" w:after="0"/>
      </w:pPr>
      <w:r>
        <w:rPr>
          <w:sz w:val="14"/>
          <w:szCs w:val="14"/>
        </w:rPr>
        <w:t xml:space="preserve"/>
      </w:r>
    </w:p>
    <w:p>
      <w:pPr>
        <w:pStyle w:val="Heading2"/>
        <w:spacing w:before="280" w:after="100"/>
      </w:pPr>
      <w:r>
        <w:rPr>
          <w:rFonts w:ascii="Arial" w:cs="Arial" w:eastAsia="Arial" w:hAnsi="Arial"/>
          <w:b/>
          <w:bCs/>
          <w:color w:val="2E75B6"/>
          <w:sz w:val="28"/>
          <w:szCs w:val="28"/>
        </w:rPr>
        <w:t xml:space="preserve">5.2 Networking &amp; Security</w:t>
      </w:r>
    </w:p>
    <w:p>
      <w:pPr>
        <w:pStyle w:val="ListParagraph"/>
        <w:numPr>
          <w:ilvl w:val="0"/>
          <w:numId w:val="2"/>
        </w:numPr>
        <w:spacing w:before="60" w:after="60"/>
      </w:pPr>
      <w:r>
        <w:rPr>
          <w:rFonts w:ascii="Arial" w:cs="Arial" w:eastAsia="Arial" w:hAnsi="Arial"/>
          <w:b w:val="false"/>
          <w:bCs w:val="false"/>
          <w:color w:val="1A1A2E"/>
          <w:sz w:val="22"/>
          <w:szCs w:val="22"/>
        </w:rPr>
        <w:t xml:space="preserve">All EKS workloads run in private subnets; no public endpoints except the health check Lambda</w:t>
      </w:r>
    </w:p>
    <w:p>
      <w:pPr>
        <w:pStyle w:val="ListParagraph"/>
        <w:numPr>
          <w:ilvl w:val="0"/>
          <w:numId w:val="2"/>
        </w:numPr>
        <w:spacing w:before="60" w:after="60"/>
      </w:pPr>
      <w:r>
        <w:rPr>
          <w:rFonts w:ascii="Arial" w:cs="Arial" w:eastAsia="Arial" w:hAnsi="Arial"/>
          <w:b w:val="false"/>
          <w:bCs w:val="false"/>
          <w:color w:val="1A1A2E"/>
          <w:sz w:val="22"/>
          <w:szCs w:val="22"/>
        </w:rPr>
        <w:t xml:space="preserve">Neo4j Aura Enterprise accessed via VPC peering; mTLS enforced on all connections</w:t>
      </w:r>
    </w:p>
    <w:p>
      <w:pPr>
        <w:pStyle w:val="ListParagraph"/>
        <w:numPr>
          <w:ilvl w:val="0"/>
          <w:numId w:val="2"/>
        </w:numPr>
        <w:spacing w:before="60" w:after="60"/>
      </w:pPr>
      <w:r>
        <w:rPr>
          <w:rFonts w:ascii="Arial" w:cs="Arial" w:eastAsia="Arial" w:hAnsi="Arial"/>
          <w:b w:val="false"/>
          <w:bCs w:val="false"/>
          <w:color w:val="1A1A2E"/>
          <w:sz w:val="22"/>
          <w:szCs w:val="22"/>
        </w:rPr>
        <w:t xml:space="preserve">Kafka MSK encrypted in transit (TLS 1.3) and at rest (AES-256)</w:t>
      </w:r>
    </w:p>
    <w:p>
      <w:pPr>
        <w:pStyle w:val="ListParagraph"/>
        <w:numPr>
          <w:ilvl w:val="0"/>
          <w:numId w:val="2"/>
        </w:numPr>
        <w:spacing w:before="60" w:after="60"/>
      </w:pPr>
      <w:r>
        <w:rPr>
          <w:rFonts w:ascii="Arial" w:cs="Arial" w:eastAsia="Arial" w:hAnsi="Arial"/>
          <w:b w:val="false"/>
          <w:bCs w:val="false"/>
          <w:color w:val="1A1A2E"/>
          <w:sz w:val="22"/>
          <w:szCs w:val="22"/>
        </w:rPr>
        <w:t xml:space="preserve">IAM roles follow least-privilege: graph writer has Neo4j write only; agent has Neo4j read + OpenAI/Tavily API calls only</w:t>
      </w:r>
    </w:p>
    <w:p>
      <w:pPr>
        <w:pStyle w:val="ListParagraph"/>
        <w:numPr>
          <w:ilvl w:val="0"/>
          <w:numId w:val="2"/>
        </w:numPr>
        <w:spacing w:before="60" w:after="60"/>
      </w:pPr>
      <w:r>
        <w:rPr>
          <w:rFonts w:ascii="Arial" w:cs="Arial" w:eastAsia="Arial" w:hAnsi="Arial"/>
          <w:b w:val="false"/>
          <w:bCs w:val="false"/>
          <w:color w:val="1A1A2E"/>
          <w:sz w:val="22"/>
          <w:szCs w:val="22"/>
        </w:rPr>
        <w:t xml:space="preserve">All investigation payloads written to immutable S3 audit trail; CloudTrail validates chain of custody</w:t>
      </w:r>
    </w:p>
    <w:p>
      <w:pPr>
        <w:spacing w:before="0" w:after="0"/>
      </w:pPr>
      <w:r>
        <w:rPr>
          <w:sz w:val="28"/>
          <w:szCs w:val="28"/>
        </w:rPr>
        <w:t xml:space="preserve"/>
      </w:r>
    </w:p>
    <w:p>
      <w:r>
        <w:br w:type="page"/>
      </w:r>
    </w:p>
    <w:p>
      <w:pPr>
        <w:pStyle w:val="Heading1"/>
        <w:pBdr>
          <w:bottom w:val="single" w:color="2E75B6" w:sz="8" w:space="6"/>
        </w:pBdr>
        <w:spacing w:before="360" w:after="120"/>
      </w:pPr>
      <w:r>
        <w:rPr>
          <w:rFonts w:ascii="Arial" w:cs="Arial" w:eastAsia="Arial" w:hAnsi="Arial"/>
          <w:b/>
          <w:bCs/>
          <w:color w:val="1F4E79"/>
          <w:sz w:val="36"/>
          <w:szCs w:val="36"/>
        </w:rPr>
        <w:t xml:space="preserve">6. Evaluation &amp; Quality Harness</w:t>
      </w:r>
    </w:p>
    <w:p>
      <w:pPr>
        <w:spacing w:before="80" w:after="100"/>
      </w:pPr>
      <w:r>
        <w:rPr>
          <w:rFonts w:ascii="Arial" w:cs="Arial" w:eastAsia="Arial" w:hAnsi="Arial"/>
          <w:color w:val="1A1A2E"/>
          <w:sz w:val="22"/>
          <w:szCs w:val="22"/>
        </w:rPr>
        <w:t xml:space="preserve">Part 1's most critical quality control mechanism is the evaluation harness (sre-platform/evals/). Since the AI agent produces probabilistic outputs, continuous automated evaluation is mandatory to detect regression and validate model improvements.</w:t>
      </w:r>
    </w:p>
    <w:p>
      <w:pPr>
        <w:pStyle w:val="Heading2"/>
        <w:spacing w:before="280" w:after="100"/>
      </w:pPr>
      <w:r>
        <w:rPr>
          <w:rFonts w:ascii="Arial" w:cs="Arial" w:eastAsia="Arial" w:hAnsi="Arial"/>
          <w:b/>
          <w:bCs/>
          <w:color w:val="2E75B6"/>
          <w:sz w:val="28"/>
          <w:szCs w:val="28"/>
        </w:rPr>
        <w:t xml:space="preserve">6.1 Evaluation Dataset</w:t>
      </w:r>
    </w:p>
    <w:p>
      <w:pPr>
        <w:spacing w:before="80" w:after="100"/>
      </w:pPr>
      <w:r>
        <w:rPr>
          <w:rFonts w:ascii="Arial" w:cs="Arial" w:eastAsia="Arial" w:hAnsi="Arial"/>
          <w:color w:val="1A1A2E"/>
          <w:sz w:val="22"/>
          <w:szCs w:val="22"/>
        </w:rPr>
        <w:t xml:space="preserve">The eval dataset is seeded with 50 labeled historical incidents provided by the embedded SRE SME during Phase 1. Each labeled incident contains: the original alert payload, the ground-truth root cause, the correct blast radius, and the appropriate NBA recommendations.</w:t>
      </w:r>
    </w:p>
    <w:p>
      <w:pPr>
        <w:pStyle w:val="Heading2"/>
        <w:spacing w:before="280" w:after="100"/>
      </w:pPr>
      <w:r>
        <w:rPr>
          <w:rFonts w:ascii="Arial" w:cs="Arial" w:eastAsia="Arial" w:hAnsi="Arial"/>
          <w:b/>
          <w:bCs/>
          <w:color w:val="2E75B6"/>
          <w:sz w:val="28"/>
          <w:szCs w:val="28"/>
        </w:rPr>
        <w:t xml:space="preserve">6.2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000"/>
        <w:gridCol w:w="19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Phase 1 Target</w:t>
            </w:r>
          </w:p>
        </w:tc>
        <w:tc>
          <w:tcPr>
            <w:tcW w:type="dxa" w:w="19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Phase 3 Target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RCA Accuracy</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Root cause matches ground truth (exact or equivalent)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85%</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92%</w:t>
            </w:r>
          </w:p>
        </w:tc>
      </w:tr>
      <w:tr>
        <w:tc>
          <w:tcPr>
            <w:tcW w:type="dxa" w:w="26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Hypothesis Recall</w:t>
            </w:r>
          </w:p>
        </w:tc>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True root cause appears in top-3 hypotheses</w:t>
            </w:r>
          </w:p>
        </w:tc>
        <w:tc>
          <w:tcPr>
            <w:tcW w:type="dxa" w:w="20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 90%</w:t>
            </w:r>
          </w:p>
        </w:tc>
        <w:tc>
          <w:tcPr>
            <w:tcW w:type="dxa" w:w="19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 95%</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Evidence Density</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Avg. number of Neo4j edges cited per investigation</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4</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7</w:t>
            </w:r>
          </w:p>
        </w:tc>
      </w:tr>
      <w:tr>
        <w:tc>
          <w:tcPr>
            <w:tcW w:type="dxa" w:w="26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Investigation Latency P75</w:t>
            </w:r>
          </w:p>
        </w:tc>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Time from alert received to JSON output delivered</w:t>
            </w:r>
          </w:p>
        </w:tc>
        <w:tc>
          <w:tcPr>
            <w:tcW w:type="dxa" w:w="20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 6 min</w:t>
            </w:r>
          </w:p>
        </w:tc>
        <w:tc>
          <w:tcPr>
            <w:tcW w:type="dxa" w:w="19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 4 min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Confidence Calibration</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Correlation between confidence score and actual accuracy</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0.70 Pearson r</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0.85 Pearson r</w:t>
            </w:r>
          </w:p>
        </w:tc>
      </w:tr>
      <w:tr>
        <w:tc>
          <w:tcPr>
            <w:tcW w:type="dxa" w:w="26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False Positive Escalation</w:t>
            </w:r>
          </w:p>
        </w:tc>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Investigations flagging wrong service as root cause</w:t>
            </w:r>
          </w:p>
        </w:tc>
        <w:tc>
          <w:tcPr>
            <w:tcW w:type="dxa" w:w="20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 10%</w:t>
            </w:r>
          </w:p>
        </w:tc>
        <w:tc>
          <w:tcPr>
            <w:tcW w:type="dxa" w:w="19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 5%</w:t>
            </w:r>
          </w:p>
        </w:tc>
      </w:tr>
    </w:tbl>
    <w:p>
      <w:pPr>
        <w:spacing w:before="0" w:after="0"/>
      </w:pPr>
      <w:r>
        <w:rPr>
          <w:sz w:val="14"/>
          <w:szCs w:val="14"/>
        </w:rPr>
        <w:t xml:space="preserve"/>
      </w:r>
    </w:p>
    <w:p>
      <w:pPr>
        <w:pStyle w:val="Heading2"/>
        <w:spacing w:before="280" w:after="100"/>
      </w:pPr>
      <w:r>
        <w:rPr>
          <w:rFonts w:ascii="Arial" w:cs="Arial" w:eastAsia="Arial" w:hAnsi="Arial"/>
          <w:b/>
          <w:bCs/>
          <w:color w:val="2E75B6"/>
          <w:sz w:val="28"/>
          <w:szCs w:val="28"/>
        </w:rPr>
        <w:t xml:space="preserve">6.3 Regression Testing</w:t>
      </w:r>
    </w:p>
    <w:p>
      <w:pPr>
        <w:spacing w:before="80" w:after="100"/>
      </w:pPr>
      <w:r>
        <w:rPr>
          <w:rFonts w:ascii="Arial" w:cs="Arial" w:eastAsia="Arial" w:hAnsi="Arial"/>
          <w:color w:val="1A1A2E"/>
          <w:sz w:val="22"/>
          <w:szCs w:val="22"/>
        </w:rPr>
        <w:t xml:space="preserve">Every pull request to the agent/ or graph/ directories triggers an automated eval run against the full labeled dataset. A PR is blocked from merge if RCA Accuracy drops by more than 3 percentage points from the previous baseline. This protects against prompt regressions, model version changes, and schema drift.</w:t>
      </w:r>
    </w:p>
    <w:p>
      <w:pPr>
        <w:spacing w:before="0" w:after="0"/>
      </w:pPr>
      <w:r>
        <w:rPr>
          <w:sz w:val="28"/>
          <w:szCs w:val="28"/>
        </w:rPr>
        <w:t xml:space="preserve"/>
      </w:r>
    </w:p>
    <w:p>
      <w:r>
        <w:br w:type="page"/>
      </w:r>
    </w:p>
    <w:p>
      <w:pPr>
        <w:pStyle w:val="Heading1"/>
        <w:pBdr>
          <w:bottom w:val="single" w:color="2E75B6" w:sz="8" w:space="6"/>
        </w:pBdr>
        <w:spacing w:before="360" w:after="120"/>
      </w:pPr>
      <w:r>
        <w:rPr>
          <w:rFonts w:ascii="Arial" w:cs="Arial" w:eastAsia="Arial" w:hAnsi="Arial"/>
          <w:b/>
          <w:bCs/>
          <w:color w:val="1F4E79"/>
          <w:sz w:val="36"/>
          <w:szCs w:val="36"/>
        </w:rPr>
        <w:t xml:space="preserve">7. Team, Timeline &amp; Execution Roadmap</w:t>
      </w:r>
    </w:p>
    <w:p>
      <w:pPr>
        <w:pStyle w:val="Heading2"/>
        <w:spacing w:before="280" w:after="100"/>
      </w:pPr>
      <w:r>
        <w:rPr>
          <w:rFonts w:ascii="Arial" w:cs="Arial" w:eastAsia="Arial" w:hAnsi="Arial"/>
          <w:b/>
          <w:bCs/>
          <w:color w:val="2E75B6"/>
          <w:sz w:val="28"/>
          <w:szCs w:val="28"/>
        </w:rPr>
        <w:t xml:space="preserve">7.1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FTE</w:t>
            </w:r>
          </w:p>
        </w:tc>
        <w:tc>
          <w:tcPr>
            <w:tcW w:type="dxa" w:w="57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Primary Responsibilities for Part 1</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Tech Lead</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Architecture decisions, OpenAI/LangGraph agent design, interface contract ownership, code review</w:t>
            </w:r>
          </w:p>
        </w:tc>
      </w:tr>
      <w:tr>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Backend Engineer — Agent</w:t>
            </w:r>
          </w:p>
        </w:tc>
        <w:tc>
          <w:tcPr>
            <w:tcW w:type="dxa" w:w="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57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SRE agent implementation, hypothesis engine, Tavily/OpenAI integration, evaluation harness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Engineer</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Airbyte connector configuration, schema normalization, Kafka/Flink streaming pipeline</w:t>
            </w:r>
          </w:p>
        </w:tc>
      </w:tr>
      <w:tr>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Graph Engineer</w:t>
            </w:r>
          </w:p>
        </w:tc>
        <w:tc>
          <w:tcPr>
            <w:tcW w:type="dxa" w:w="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57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Neo4j schema design, Cypher optimization, graph writer service, embedding pipeline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DevOps / Platform Engineer</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0.5</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AWS EKS, Terraform (Part 1 resources), OTel Collector, Kafka MSK, CI/CD</w:t>
            </w:r>
          </w:p>
        </w:tc>
      </w:tr>
      <w:tr>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SRE SME (Embedded)</w:t>
            </w:r>
          </w:p>
        </w:tc>
        <w:tc>
          <w:tcPr>
            <w:tcW w:type="dxa" w:w="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0.5</w:t>
            </w:r>
          </w:p>
        </w:tc>
        <w:tc>
          <w:tcPr>
            <w:tcW w:type="dxa" w:w="57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Domain expertise, hypothesis quality validation, eval dataset labeling</w:t>
            </w:r>
          </w:p>
        </w:tc>
      </w:tr>
    </w:tbl>
    <w:p>
      <w:pPr>
        <w:spacing w:before="0" w:after="0"/>
      </w:pPr>
      <w:r>
        <w:rPr>
          <w:sz w:val="14"/>
          <w:szCs w:val="14"/>
        </w:rPr>
        <w:t xml:space="preserve"/>
      </w:r>
    </w:p>
    <w:p>
      <w:pPr>
        <w:pStyle w:val="Heading2"/>
        <w:spacing w:before="280" w:after="100"/>
      </w:pPr>
      <w:r>
        <w:rPr>
          <w:rFonts w:ascii="Arial" w:cs="Arial" w:eastAsia="Arial" w:hAnsi="Arial"/>
          <w:b/>
          <w:bCs/>
          <w:color w:val="2E75B6"/>
          <w:sz w:val="28"/>
          <w:szCs w:val="28"/>
        </w:rPr>
        <w:t xml:space="preserve">7.2 Phased Execution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61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Part 1 Milestones</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Foundation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Weeks 1–8</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EKS cluster + Neo4j Aura provisioned. Airbyte connectors live for AWS CloudWatch, Kubernetes events, Prometheus. OTel Collector deployed as DaemonSet. Graph schema v1 published. First 50 services graphed. Agent MVP: human-in-the-loop, single-hypothesis mode. Eval harness seeded with 50 labeled incidents. Interface JSON schema v1 published to Part 2.</w:t>
            </w:r>
          </w:p>
        </w:tc>
      </w:tr>
      <w:tr>
        <w:tc>
          <w:tcPr>
            <w:tcW w:type="dxa" w:w="16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Phase 2: Autonomous Mode</w:t>
            </w:r>
          </w:p>
        </w:tc>
        <w:tc>
          <w:tcPr>
            <w:tcW w:type="dxa" w:w="16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Weeks 9–16</w:t>
            </w:r>
          </w:p>
        </w:tc>
        <w:tc>
          <w:tcPr>
            <w:tcW w:type="dxa" w:w="61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All production telemetry sources connected (300+ connectors active). Multi-hypothesis agent live with full evidence collection loop. Tavily integration enabled. Confidence scoring gate live. Vector index populated. Eval accuracy ≥ 85%. Agent handling ≥ 80% of P1/P2 alerts autonomously. Investigation latency P75 ≤ 5 minutes.</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 Self-Learning</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Weeks 17–24</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Auto-remediation catalog integrated (read from Part 2 API). Proactive anomaly detection (agent polls for pre-alert signals every 5 minutes). Post-mortem auto-generation enabled. Eval accuracy ≥ 92%. MTTRC reduction ≥ 70% vs baseline confirmed.</w:t>
            </w:r>
          </w:p>
        </w:tc>
      </w:tr>
    </w:tbl>
    <w:p>
      <w:pPr>
        <w:spacing w:before="0" w:after="0"/>
      </w:pPr>
      <w:r>
        <w:rPr>
          <w:sz w:val="28"/>
          <w:szCs w:val="28"/>
        </w:rPr>
        <w:t xml:space="preserve"/>
      </w:r>
    </w:p>
    <w:p>
      <w:r>
        <w:br w:type="page"/>
      </w:r>
    </w:p>
    <w:p>
      <w:pPr>
        <w:pStyle w:val="Heading1"/>
        <w:pBdr>
          <w:bottom w:val="single" w:color="2E75B6" w:sz="8" w:space="6"/>
        </w:pBdr>
        <w:spacing w:before="360" w:after="120"/>
      </w:pPr>
      <w:r>
        <w:rPr>
          <w:rFonts w:ascii="Arial" w:cs="Arial" w:eastAsia="Arial" w:hAnsi="Arial"/>
          <w:b/>
          <w:bCs/>
          <w:color w:val="1F4E79"/>
          <w:sz w:val="36"/>
          <w:szCs w:val="36"/>
        </w:rP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Probability</w:t>
            </w:r>
          </w:p>
        </w:tc>
        <w:tc>
          <w:tcPr>
            <w:tcW w:type="dxa" w:w="47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Hallucination in RCA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claims grounded in Neo4j graph data or Tavily-cited sources. Confidence scoring gate blocks autonomous action below 0.85. Human review required for low-confidence outputs.</w:t>
            </w:r>
          </w:p>
        </w:tc>
      </w:tr>
      <w:tr>
        <w:tc>
          <w:tcPr>
            <w:tcW w:type="dxa" w:w="2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Graph Data Staleness</w:t>
            </w:r>
          </w:p>
        </w:tc>
        <w:tc>
          <w:tcPr>
            <w:tcW w:type="dxa" w:w="1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7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Airbyte sync health monitors with Slack alerting. Staleness timestamps on every graph node. Investigations auto-flag context older than 10 minutes.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OpenAI API Outage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Failover to Amazon Bedrock (Claude 3.5 Sonnet) via LiteLLM routing layer. Graceful degradation to rule-based triage when LLM unavailable.</w:t>
            </w:r>
          </w:p>
        </w:tc>
      </w:tr>
      <w:tr>
        <w:tc>
          <w:tcPr>
            <w:tcW w:type="dxa" w:w="2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Kafka/Flink Backpressure</w:t>
            </w:r>
          </w:p>
        </w:tc>
        <w:tc>
          <w:tcPr>
            <w:tcW w:type="dxa" w:w="1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7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Flink auto-scaling on EKS. Dead-letter queue for failed graph writes. Replay capability via S3 write-ahead log.</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PII Leakage to OpenAI</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Scrubbing pipeline enforced at both Airbyte transform and OTel processor layers. Audit Lambda validates 1% of payloads. OpenAI called with sanitized payloads only.</w:t>
            </w:r>
          </w:p>
        </w:tc>
      </w:tr>
      <w:tr>
        <w:tc>
          <w:tcPr>
            <w:tcW w:type="dxa" w:w="2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Eval Dataset Drift</w:t>
            </w:r>
          </w:p>
        </w:tc>
        <w:tc>
          <w:tcPr>
            <w:tcW w:type="dxa" w:w="1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47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SRE SME reviews and labels 5 new incidents per week during Phases 1–2 to keep eval dataset current with evolving system topology.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Neo4j Write Contention</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MERGE idempotency prevents duplicate nodes. Flink windowed aggregation batches writes. Circuit breaker falls back to S3 write-ahead log at 500ms p99.</w:t>
            </w:r>
          </w:p>
        </w:tc>
      </w:tr>
    </w:tbl>
    <w:p>
      <w:pPr>
        <w:spacing w:before="0" w:after="0"/>
      </w:pPr>
      <w:r>
        <w:rPr>
          <w:sz w:val="28"/>
          <w:szCs w:val="28"/>
        </w:rPr>
        <w:t xml:space="preserve"/>
      </w:r>
    </w:p>
    <w:p>
      <w:r>
        <w:br w:type="page"/>
      </w:r>
    </w:p>
    <w:p>
      <w:pPr>
        <w:pStyle w:val="Heading1"/>
        <w:pBdr>
          <w:bottom w:val="single" w:color="2E75B6" w:sz="8" w:space="6"/>
        </w:pBdr>
        <w:spacing w:before="360" w:after="120"/>
      </w:pPr>
      <w:r>
        <w:rPr>
          <w:rFonts w:ascii="Arial" w:cs="Arial" w:eastAsia="Arial" w:hAnsi="Arial"/>
          <w:b/>
          <w:bCs/>
          <w:color w:val="1F4E79"/>
          <w:sz w:val="36"/>
          <w:szCs w:val="36"/>
        </w:rPr>
        <w:t xml:space="preserve">9. Operating Costs — Part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3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33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Est. Monthly Cost (USD)</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AWS EKS + EC2</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3x m5.2xlarge managed nodes + Spot workers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$1,200 – $1,800</w:t>
            </w:r>
          </w:p>
        </w:tc>
      </w:tr>
      <w:tr>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Amazon MSK (Kafka)</w:t>
            </w:r>
          </w:p>
        </w:tc>
        <w:tc>
          <w:tcPr>
            <w:tcW w:type="dxa" w:w="3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3-broker cluster, 7-day retention</w:t>
            </w:r>
          </w:p>
        </w:tc>
        <w:tc>
          <w:tcPr>
            <w:tcW w:type="dxa" w:w="33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$400 – $600</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Amazon S3</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Staging bucket + investigation archive + WAL</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$80 – $150</w:t>
            </w:r>
          </w:p>
        </w:tc>
      </w:tr>
      <w:tr>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AWS Secrets Manager + CloudTrail</w:t>
            </w:r>
          </w:p>
        </w:tc>
        <w:tc>
          <w:tcPr>
            <w:tcW w:type="dxa" w:w="3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Credential rotation + audit logging</w:t>
            </w:r>
          </w:p>
        </w:tc>
        <w:tc>
          <w:tcPr>
            <w:tcW w:type="dxa" w:w="33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$50 – $100</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OpenAI API</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GPT-4o reasoning (500 investigations/mo) + embeddings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$1,800 – $2,600</w:t>
            </w:r>
          </w:p>
        </w:tc>
      </w:tr>
      <w:tr>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Neo4j Aura Enterprise</w:t>
            </w:r>
          </w:p>
        </w:tc>
        <w:tc>
          <w:tcPr>
            <w:tcW w:type="dxa" w:w="3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Graph DB + vector index + GDS library</w:t>
            </w:r>
          </w:p>
        </w:tc>
        <w:tc>
          <w:tcPr>
            <w:tcW w:type="dxa" w:w="33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$800 – $1,400</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Airbyte Cloud</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 connector syncs at production volume</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$600 – $900</w:t>
            </w:r>
          </w:p>
        </w:tc>
      </w:tr>
      <w:tr>
        <w:tc>
          <w:tcPr>
            <w:tcW w:type="dxa" w:w="28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Tavily Enterprise</w:t>
            </w:r>
          </w:p>
        </w:tc>
        <w:tc>
          <w:tcPr>
            <w:tcW w:type="dxa" w:w="320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100K API calls/month (3 calls × 500 investigations + proactive scans)</w:t>
            </w:r>
          </w:p>
        </w:tc>
        <w:tc>
          <w:tcPr>
            <w:tcW w:type="dxa" w:w="3360"/>
            <w:tcBorders>
              <w:top w:val="single" w:color="BFBFBF" w:sz="1"/>
              <w:left w:val="single" w:color="BFBFBF" w:sz="1"/>
              <w:bottom w:val="single" w:color="BFBFBF" w:sz="1"/>
              <w:right w:val="single" w:color="BFBFBF" w:sz="1"/>
            </w:tcBorders>
            <w:shd w:fill="EBF3FA" w:val="clear"/>
            <w:tcMar>
              <w:top w:type="dxa" w:w="80"/>
              <w:left w:type="dxa" w:w="120"/>
              <w:bottom w:type="dxa" w:w="80"/>
              <w:right w:type="dxa" w:w="120"/>
            </w:tcMar>
          </w:tcPr>
          <w:p>
            <w:r>
              <w:rPr>
                <w:rFonts w:ascii="Arial" w:cs="Arial" w:eastAsia="Arial" w:hAnsi="Arial"/>
                <w:color w:val="1A1A2E"/>
                <w:sz w:val="20"/>
                <w:szCs w:val="20"/>
              </w:rPr>
              <w:t xml:space="preserve">$400 – $600</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 PART 1 MONTHLY OPEX</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$5,330 – $8,150</w:t>
            </w:r>
          </w:p>
        </w:tc>
      </w:tr>
    </w:tbl>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EEAF1" w:val="clear"/>
            <w:tcMar>
              <w:top w:type="dxa" w:w="160"/>
              <w:left w:type="dxa" w:w="200"/>
              <w:bottom w:type="dxa" w:w="160"/>
              <w:right w:type="dxa" w:w="200"/>
            </w:tcMar>
          </w:tcPr>
          <w:p>
            <w:pPr>
              <w:spacing w:before="0" w:after="80"/>
            </w:pPr>
            <w:r>
              <w:rPr>
                <w:rFonts w:ascii="Arial" w:cs="Arial" w:eastAsia="Arial" w:hAnsi="Arial"/>
                <w:b/>
                <w:bCs/>
                <w:color w:val="1F4E79"/>
                <w:sz w:val="22"/>
                <w:szCs w:val="22"/>
              </w:rPr>
              <w:t xml:space="preserve">ROI CONTEXT</w:t>
            </w:r>
          </w:p>
          <w:p>
            <w:pPr>
              <w:spacing w:before="0" w:after="0"/>
            </w:pPr>
            <w:r>
              <w:rPr>
                <w:rFonts w:ascii="Arial" w:cs="Arial" w:eastAsia="Arial" w:hAnsi="Arial"/>
                <w:color w:val="1A1A2E"/>
                <w:sz w:val="21"/>
                <w:szCs w:val="21"/>
              </w:rPr>
              <w:t xml:space="preserve">At $5,330–$8,150/month, Part 1 alone delivers the investigation intelligence that eliminates 50%+ of on-call toil in a 20-person engineering org — equivalent to saving $170K+/year in recovered engineering capacity at $200K average loaded cost. Return: 20–32x on Part 1 opex.</w:t>
            </w:r>
          </w:p>
        </w:tc>
      </w:tr>
    </w:tbl>
    <w:p>
      <w:pPr>
        <w:spacing w:before="0" w:after="0"/>
      </w:pPr>
      <w:r>
        <w:rPr>
          <w:sz w:val="28"/>
          <w:szCs w:val="28"/>
        </w:rPr>
        <w:t xml:space="preserve"/>
      </w:r>
    </w:p>
    <w:p>
      <w:pPr>
        <w:pStyle w:val="Heading1"/>
        <w:pBdr>
          <w:bottom w:val="single" w:color="2E75B6" w:sz="8" w:space="6"/>
        </w:pBdr>
        <w:spacing w:before="360" w:after="120"/>
      </w:pPr>
      <w:r>
        <w:rPr>
          <w:rFonts w:ascii="Arial" w:cs="Arial" w:eastAsia="Arial" w:hAnsi="Arial"/>
          <w:b/>
          <w:bCs/>
          <w:color w:val="1F4E79"/>
          <w:sz w:val="36"/>
          <w:szCs w:val="36"/>
        </w:rPr>
        <w:t xml:space="preserve">10. Next Steps</w:t>
      </w:r>
    </w:p>
    <w:p>
      <w:pPr>
        <w:spacing w:before="80" w:after="100"/>
      </w:pPr>
      <w:r>
        <w:rPr>
          <w:rFonts w:ascii="Arial" w:cs="Arial" w:eastAsia="Arial" w:hAnsi="Arial"/>
          <w:color w:val="1A1A2E"/>
          <w:sz w:val="22"/>
          <w:szCs w:val="22"/>
        </w:rPr>
        <w:t xml:space="preserve">To initiate Part 1 development, the following actions are required in Week 1:</w:t>
      </w:r>
    </w:p>
    <w:p>
      <w:pPr>
        <w:pStyle w:val="ListParagraph"/>
        <w:numPr>
          <w:ilvl w:val="0"/>
          <w:numId w:val="2"/>
        </w:numPr>
        <w:spacing w:before="60" w:after="60"/>
      </w:pPr>
      <w:r>
        <w:rPr>
          <w:rFonts w:ascii="Arial" w:cs="Arial" w:eastAsia="Arial" w:hAnsi="Arial"/>
          <w:b/>
          <w:bCs/>
          <w:color w:val="1A1A2E"/>
          <w:sz w:val="22"/>
          <w:szCs w:val="22"/>
        </w:rPr>
        <w:t xml:space="preserve">Assign Platform Tech Lead and Graph Engineer — both are critical-path for schema and architecture decisions</w:t>
      </w:r>
    </w:p>
    <w:p>
      <w:pPr>
        <w:pStyle w:val="ListParagraph"/>
        <w:numPr>
          <w:ilvl w:val="0"/>
          <w:numId w:val="2"/>
        </w:numPr>
        <w:spacing w:before="60" w:after="60"/>
      </w:pPr>
      <w:r>
        <w:rPr>
          <w:rFonts w:ascii="Arial" w:cs="Arial" w:eastAsia="Arial" w:hAnsi="Arial"/>
          <w:b/>
          <w:bCs/>
          <w:color w:val="1A1A2E"/>
          <w:sz w:val="22"/>
          <w:szCs w:val="22"/>
        </w:rPr>
        <w:t xml:space="preserve">Provision AWS EKS cluster (3x m5.2xlarge) and Neo4j Aura Enterprise instance</w:t>
      </w:r>
    </w:p>
    <w:p>
      <w:pPr>
        <w:pStyle w:val="ListParagraph"/>
        <w:numPr>
          <w:ilvl w:val="0"/>
          <w:numId w:val="2"/>
        </w:numPr>
        <w:spacing w:before="60" w:after="60"/>
      </w:pPr>
      <w:r>
        <w:rPr>
          <w:rFonts w:ascii="Arial" w:cs="Arial" w:eastAsia="Arial" w:hAnsi="Arial"/>
          <w:b/>
          <w:bCs/>
          <w:color w:val="1A1A2E"/>
          <w:sz w:val="22"/>
          <w:szCs w:val="22"/>
        </w:rPr>
        <w:t xml:space="preserve">Publish Investigation JSON Schema v1 to the shared interface repository — this unblocks Part 2 immediately</w:t>
      </w:r>
    </w:p>
    <w:p>
      <w:pPr>
        <w:pStyle w:val="ListParagraph"/>
        <w:numPr>
          <w:ilvl w:val="0"/>
          <w:numId w:val="2"/>
        </w:numPr>
        <w:spacing w:before="60" w:after="60"/>
      </w:pPr>
      <w:r>
        <w:rPr>
          <w:rFonts w:ascii="Arial" w:cs="Arial" w:eastAsia="Arial" w:hAnsi="Arial"/>
          <w:b/>
          <w:bCs/>
          <w:color w:val="1A1A2E"/>
          <w:sz w:val="22"/>
          <w:szCs w:val="22"/>
        </w:rPr>
        <w:t xml:space="preserve">Assign Data Engineer to configure Airbyte CloudWatch and Kubernetes connectors as first production sources</w:t>
      </w:r>
    </w:p>
    <w:p>
      <w:pPr>
        <w:pStyle w:val="ListParagraph"/>
        <w:numPr>
          <w:ilvl w:val="0"/>
          <w:numId w:val="2"/>
        </w:numPr>
        <w:spacing w:before="60" w:after="60"/>
      </w:pPr>
      <w:r>
        <w:rPr>
          <w:rFonts w:ascii="Arial" w:cs="Arial" w:eastAsia="Arial" w:hAnsi="Arial"/>
          <w:b/>
          <w:bCs/>
          <w:color w:val="1A1A2E"/>
          <w:sz w:val="22"/>
          <w:szCs w:val="22"/>
        </w:rPr>
        <w:t xml:space="preserve">Schedule SRE SME onboarding session to begin eval dataset labeling (target: 20 incidents in Week 1)</w:t>
      </w:r>
    </w:p>
    <w:p>
      <w:pPr>
        <w:pStyle w:val="ListParagraph"/>
        <w:numPr>
          <w:ilvl w:val="0"/>
          <w:numId w:val="2"/>
        </w:numPr>
        <w:spacing w:before="60" w:after="60"/>
      </w:pPr>
      <w:r>
        <w:rPr>
          <w:rFonts w:ascii="Arial" w:cs="Arial" w:eastAsia="Arial" w:hAnsi="Arial"/>
          <w:b/>
          <w:bCs/>
          <w:color w:val="1A1A2E"/>
          <w:sz w:val="22"/>
          <w:szCs w:val="22"/>
        </w:rPr>
        <w:t xml:space="preserve">Establish eval regression baseline: run first automated eval run by end of Week 2</w:t>
      </w:r>
    </w:p>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EEAF1" w:val="clear"/>
            <w:tcMar>
              <w:top w:type="dxa" w:w="160"/>
              <w:left w:type="dxa" w:w="200"/>
              <w:bottom w:type="dxa" w:w="160"/>
              <w:right w:type="dxa" w:w="200"/>
            </w:tcMar>
          </w:tcPr>
          <w:p>
            <w:pPr>
              <w:spacing w:before="0" w:after="80"/>
            </w:pPr>
            <w:r>
              <w:rPr>
                <w:rFonts w:ascii="Arial" w:cs="Arial" w:eastAsia="Arial" w:hAnsi="Arial"/>
                <w:b/>
                <w:bCs/>
                <w:color w:val="1F4E79"/>
                <w:sz w:val="22"/>
                <w:szCs w:val="22"/>
              </w:rPr>
              <w:t xml:space="preserve">FIRST INVESTIGATION TARGET</w:t>
            </w:r>
          </w:p>
          <w:p>
            <w:pPr>
              <w:spacing w:before="0" w:after="0"/>
            </w:pPr>
            <w:r>
              <w:rPr>
                <w:rFonts w:ascii="Arial" w:cs="Arial" w:eastAsia="Arial" w:hAnsi="Arial"/>
                <w:color w:val="1A1A2E"/>
                <w:sz w:val="21"/>
                <w:szCs w:val="21"/>
              </w:rPr>
              <w:t xml:space="preserve">By the end of Week 8 (Phase 1 close), Part 1 should produce its first live investigation report for a real production alert — with human review enabled and eval accuracy ≥ 85%. This milestone validates the entire Part 1 architecture before Part 2 integration begins.</w:t>
            </w:r>
          </w:p>
        </w:tc>
      </w:tr>
    </w:tbl>
    <w:p>
      <w:pPr>
        <w:spacing w:before="0" w:after="0"/>
      </w:pPr>
      <w:r>
        <w:rPr>
          <w:sz w:val="28"/>
          <w:szCs w:val="28"/>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60" w:after="0"/>
    </w:pPr>
    <w:r>
      <w:rPr>
        <w:rFonts w:ascii="Arial" w:cs="Arial" w:eastAsia="Arial" w:hAnsi="Arial"/>
        <w:color w:val="595959"/>
        <w:sz w:val="18"/>
        <w:szCs w:val="18"/>
      </w:rPr>
      <w:t xml:space="preserve">Confidential — Internal Use Only</w:t>
    </w:r>
    <w:r>
      <w:rPr>
        <w:rFonts w:ascii="Arial" w:cs="Arial" w:eastAsia="Arial" w:hAnsi="Arial"/>
        <w:color w:val="595959"/>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before="0" w:after="160"/>
    </w:pPr>
    <w:r>
      <w:rPr>
        <w:rFonts w:ascii="Arial" w:cs="Arial" w:eastAsia="Arial" w:hAnsi="Arial"/>
        <w:color w:val="595959"/>
        <w:sz w:val="18"/>
        <w:szCs w:val="18"/>
      </w:rPr>
      <w:t xml:space="preserve">AUTONOMOUS SRE PLATFORM  |  PART 1: DATA &amp; INTELLIGENCE BACKEND</w:t>
    </w:r>
    <w:r>
      <w:rPr>
        <w:rFonts w:ascii="Arial" w:cs="Arial" w:eastAsia="Arial" w:hAnsi="Arial"/>
        <w:color w:val="595959"/>
        <w:sz w:val="18"/>
        <w:szCs w:val="18"/>
      </w:rPr>
      <w:t xml:space="preserve">  |  Deep Research Report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2026-02-27T19:42:25.664Z</dcterms:created>
  <dcterms:modified xsi:type="dcterms:W3CDTF">2026-02-27T19:42:25.665Z</dcterms:modified>
</cp:coreProperties>
</file>

<file path=docProps/custom.xml><?xml version="1.0" encoding="utf-8"?>
<Properties xmlns="http://schemas.openxmlformats.org/officeDocument/2006/custom-properties" xmlns:vt="http://schemas.openxmlformats.org/officeDocument/2006/docPropsVTypes"/>
</file>