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7B2D8B" w:val="clear"/>
            <w:tcMar>
              <w:top w:type="dxa" w:w="600"/>
              <w:left w:type="dxa" w:w="500"/>
              <w:bottom w:type="dxa" w:w="600"/>
              <w:right w:type="dxa" w:w="500"/>
            </w:tcMar>
          </w:tcPr>
          <w:p>
            <w:pPr>
              <w:spacing w:before="0" w:after="120"/>
              <w:jc w:val="center"/>
            </w:pPr>
            <w:r>
              <w:rPr>
                <w:rFonts w:ascii="Arial" w:cs="Arial" w:eastAsia="Arial" w:hAnsi="Arial"/>
                <w:b/>
                <w:bCs/>
                <w:color w:val="FFFFFF"/>
                <w:sz w:val="48"/>
                <w:szCs w:val="48"/>
              </w:rPr>
              <w:t xml:space="preserve">AUTONOMOUS SRE PLATFORM</w:t>
            </w:r>
          </w:p>
          <w:p>
            <w:pPr>
              <w:spacing w:before="0" w:after="200"/>
              <w:jc w:val="center"/>
            </w:pPr>
            <w:r>
              <w:rPr>
                <w:rFonts w:ascii="Arial" w:cs="Arial" w:eastAsia="Arial" w:hAnsi="Arial"/>
                <w:b/>
                <w:bCs/>
                <w:color w:val="E1BEE7"/>
                <w:sz w:val="32"/>
                <w:szCs w:val="32"/>
              </w:rPr>
              <w:t xml:space="preserve">PART 2 — API, DASHBOARD &amp; DEPLOYMENT LAYER</w:t>
            </w:r>
          </w:p>
          <w:p>
            <w:pPr>
              <w:spacing w:before="0" w:after="120"/>
              <w:jc w:val="center"/>
            </w:pPr>
            <w:r>
              <w:rPr>
                <w:rFonts w:ascii="Arial" w:cs="Arial" w:eastAsia="Arial" w:hAnsi="Arial"/>
                <w:color w:val="E1BEE7"/>
                <w:sz w:val="26"/>
                <w:szCs w:val="26"/>
              </w:rPr>
              <w:t xml:space="preserve">Deep Research &amp; Execution Blueprint</w:t>
            </w:r>
          </w:p>
          <w:p>
            <w:pPr>
              <w:spacing w:before="0" w:after="0"/>
              <w:jc w:val="center"/>
            </w:pPr>
            <w:r>
              <w:rPr>
                <w:rFonts w:ascii="Arial" w:cs="Arial" w:eastAsia="Arial" w:hAnsi="Arial"/>
                <w:color w:val="CE93D8"/>
                <w:sz w:val="22"/>
                <w:szCs w:val="22"/>
              </w:rPr>
              <w:t xml:space="preserve">REST API  •  Webhook Listeners  •  Next.js Dashboard  •  Render Deployment  •  Infrastructure</w:t>
            </w:r>
          </w:p>
        </w:tc>
      </w:tr>
    </w:tbl>
    <w:p>
      <w:pPr>
        <w:spacing w:before="0" w:after="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il"/>
              <w:left w:val="nil"/>
              <w:bottom w:val="nil"/>
              <w:right w:val="nil"/>
            </w:tcBorders>
            <w:shd w:fill="FAF2FC" w:val="clear"/>
            <w:tcMar>
              <w:top w:type="dxa" w:w="200"/>
              <w:left w:type="dxa" w:w="200"/>
              <w:bottom w:type="dxa" w:w="200"/>
              <w:right w:type="dxa" w:w="200"/>
            </w:tcMar>
          </w:tcPr>
          <w:p>
            <w:pPr>
              <w:spacing w:before="0" w:after="60"/>
              <w:jc w:val="center"/>
            </w:pPr>
            <w:r>
              <w:rPr>
                <w:rFonts w:ascii="Arial" w:cs="Arial" w:eastAsia="Arial" w:hAnsi="Arial"/>
                <w:color w:val="595959"/>
                <w:sz w:val="18"/>
                <w:szCs w:val="18"/>
              </w:rPr>
              <w:t xml:space="preserve">Version</w:t>
            </w:r>
          </w:p>
          <w:p>
            <w:pPr>
              <w:spacing w:before="0" w:after="0"/>
              <w:jc w:val="center"/>
            </w:pPr>
            <w:r>
              <w:rPr>
                <w:rFonts w:ascii="Arial" w:cs="Arial" w:eastAsia="Arial" w:hAnsi="Arial"/>
                <w:b/>
                <w:bCs/>
                <w:color w:val="7B2D8B"/>
                <w:sz w:val="24"/>
                <w:szCs w:val="24"/>
              </w:rPr>
              <w:t xml:space="preserve">1.0</w:t>
            </w:r>
          </w:p>
        </w:tc>
        <w:tc>
          <w:tcPr>
            <w:tcW w:type="dxa" w:w="3120"/>
            <w:tcBorders>
              <w:top w:val="nil"/>
              <w:left w:val="nil"/>
              <w:bottom w:val="nil"/>
              <w:right w:val="nil"/>
            </w:tcBorders>
            <w:shd w:fill="FAF2FC" w:val="clear"/>
            <w:tcMar>
              <w:top w:type="dxa" w:w="200"/>
              <w:left w:type="dxa" w:w="200"/>
              <w:bottom w:type="dxa" w:w="200"/>
              <w:right w:type="dxa" w:w="200"/>
            </w:tcMar>
          </w:tcPr>
          <w:p>
            <w:pPr>
              <w:spacing w:before="0" w:after="60"/>
              <w:jc w:val="center"/>
            </w:pPr>
            <w:r>
              <w:rPr>
                <w:rFonts w:ascii="Arial" w:cs="Arial" w:eastAsia="Arial" w:hAnsi="Arial"/>
                <w:color w:val="595959"/>
                <w:sz w:val="18"/>
                <w:szCs w:val="18"/>
              </w:rPr>
              <w:t xml:space="preserve">Date</w:t>
            </w:r>
          </w:p>
          <w:p>
            <w:pPr>
              <w:spacing w:before="0" w:after="0"/>
              <w:jc w:val="center"/>
            </w:pPr>
            <w:r>
              <w:rPr>
                <w:rFonts w:ascii="Arial" w:cs="Arial" w:eastAsia="Arial" w:hAnsi="Arial"/>
                <w:b/>
                <w:bCs/>
                <w:color w:val="7B2D8B"/>
                <w:sz w:val="24"/>
                <w:szCs w:val="24"/>
              </w:rPr>
              <w:t xml:space="preserve">February 2026</w:t>
            </w:r>
          </w:p>
        </w:tc>
        <w:tc>
          <w:tcPr>
            <w:tcW w:type="dxa" w:w="3120"/>
            <w:tcBorders>
              <w:top w:val="nil"/>
              <w:left w:val="nil"/>
              <w:bottom w:val="nil"/>
              <w:right w:val="nil"/>
            </w:tcBorders>
            <w:shd w:fill="FAF2FC" w:val="clear"/>
            <w:tcMar>
              <w:top w:type="dxa" w:w="200"/>
              <w:left w:type="dxa" w:w="200"/>
              <w:bottom w:type="dxa" w:w="200"/>
              <w:right w:type="dxa" w:w="200"/>
            </w:tcMar>
          </w:tcPr>
          <w:p>
            <w:pPr>
              <w:spacing w:before="0" w:after="60"/>
              <w:jc w:val="center"/>
            </w:pPr>
            <w:r>
              <w:rPr>
                <w:rFonts w:ascii="Arial" w:cs="Arial" w:eastAsia="Arial" w:hAnsi="Arial"/>
                <w:color w:val="595959"/>
                <w:sz w:val="18"/>
                <w:szCs w:val="18"/>
              </w:rPr>
              <w:t xml:space="preserve">Status</w:t>
            </w:r>
          </w:p>
          <w:p>
            <w:pPr>
              <w:spacing w:before="0" w:after="0"/>
              <w:jc w:val="center"/>
            </w:pPr>
            <w:r>
              <w:rPr>
                <w:rFonts w:ascii="Arial" w:cs="Arial" w:eastAsia="Arial" w:hAnsi="Arial"/>
                <w:b/>
                <w:bCs/>
                <w:color w:val="107C10"/>
                <w:sz w:val="24"/>
                <w:szCs w:val="24"/>
              </w:rPr>
              <w:t xml:space="preserve">Approved for Build</w:t>
            </w:r>
          </w:p>
        </w:tc>
      </w:tr>
    </w:tbl>
    <w:p>
      <w:pPr>
        <w:spacing w:before="0" w:after="0"/>
      </w:pPr>
      <w:r>
        <w:rPr>
          <w:sz w:val="28"/>
          <w:szCs w:val="28"/>
        </w:rPr>
        <w:t xml:space="preserve"/>
      </w:r>
    </w:p>
    <w:p>
      <w:r>
        <w:br w:type="page"/>
      </w:r>
    </w:p>
    <w:p>
      <w:pPr>
        <w:pStyle w:val="Heading1"/>
        <w:pBdr>
          <w:bottom w:val="single" w:color="9C27B0" w:sz="8" w:space="6"/>
        </w:pBdr>
        <w:spacing w:before="360" w:after="120"/>
      </w:pPr>
      <w:r>
        <w:rPr>
          <w:rFonts w:ascii="Arial" w:cs="Arial" w:eastAsia="Arial" w:hAnsi="Arial"/>
          <w:b/>
          <w:bCs/>
          <w:color w:val="7B2D8B"/>
          <w:sz w:val="36"/>
          <w:szCs w:val="36"/>
        </w:rPr>
        <w:t xml:space="preserve">Executive Summary</w:t>
      </w:r>
    </w:p>
    <w:p>
      <w:pPr>
        <w:spacing w:before="80" w:after="100"/>
      </w:pPr>
      <w:r>
        <w:rPr>
          <w:rFonts w:ascii="Arial" w:cs="Arial" w:eastAsia="Arial" w:hAnsi="Arial"/>
          <w:color w:val="1A1A2E"/>
          <w:sz w:val="22"/>
          <w:szCs w:val="22"/>
        </w:rPr>
        <w:t xml:space="preserve">Part 2 of the Autonomous SRE Platform is the human interface and deployment layer — the system through which engineers, incident commanders, and stakeholders interact with the AI investigation engine built in Part 1. It can be developed, tested, and deployed in full isolation using mock JSON payloads conforming to the interface schema published by Part 1.</w:t>
      </w:r>
    </w:p>
    <w:p>
      <w:pPr>
        <w:spacing w:before="80" w:after="100"/>
      </w:pPr>
      <w:r>
        <w:rPr>
          <w:rFonts w:ascii="Arial" w:cs="Arial" w:eastAsia="Arial" w:hAnsi="Arial"/>
          <w:color w:val="1A1A2E"/>
          <w:sz w:val="22"/>
          <w:szCs w:val="22"/>
        </w:rPr>
        <w:t xml:space="preserve">This part encompasses three primary subsystems: (1) a production REST API and webhook listener deployed on Render that exposes investigation results and manages alert routing; (2) a Next.js dashboard that provides real-time incident visualization, graph exploration, and engineer-facing controls; and (3) the Terraform infrastructure, Helm charts, and CI/CD pipelines that govern the entire platform's deployment lifecycle.</w:t>
      </w:r>
    </w:p>
    <w:p>
      <w:pPr>
        <w:spacing w:before="0" w:after="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3E5F5" w:val="clear"/>
            <w:tcMar>
              <w:top w:type="dxa" w:w="160"/>
              <w:left w:type="dxa" w:w="200"/>
              <w:bottom w:type="dxa" w:w="160"/>
              <w:right w:type="dxa" w:w="200"/>
            </w:tcMar>
          </w:tcPr>
          <w:p>
            <w:pPr>
              <w:spacing w:before="0" w:after="80"/>
            </w:pPr>
            <w:r>
              <w:rPr>
                <w:rFonts w:ascii="Arial" w:cs="Arial" w:eastAsia="Arial" w:hAnsi="Arial"/>
                <w:b/>
                <w:bCs/>
                <w:color w:val="7B2D8B"/>
                <w:sz w:val="22"/>
                <w:szCs w:val="22"/>
              </w:rPr>
              <w:t xml:space="preserve">KEY OUTCOME — PART 2</w:t>
            </w:r>
          </w:p>
          <w:p>
            <w:pPr>
              <w:spacing w:before="0" w:after="0"/>
            </w:pPr>
            <w:r>
              <w:rPr>
                <w:rFonts w:ascii="Arial" w:cs="Arial" w:eastAsia="Arial" w:hAnsi="Arial"/>
                <w:color w:val="1A1A2E"/>
                <w:sz w:val="21"/>
                <w:szCs w:val="21"/>
              </w:rPr>
              <w:t xml:space="preserve">Deliver a production-grade interface layer that surfaces Part 1 investigation results to engineers within seconds of completion, enables one-click remediation from pre-approved action catalogs, and provides a live graph-topology view that reduces time-to-context for on-call engineers from minutes to seconds.</w:t>
            </w:r>
          </w:p>
        </w:tc>
      </w:tr>
    </w:tbl>
    <w:p>
      <w:pPr>
        <w:spacing w:before="0" w:after="0"/>
      </w:pPr>
      <w:r>
        <w:rPr>
          <w:sz w:val="14"/>
          <w:szCs w:val="14"/>
        </w:rPr>
        <w:t xml:space="preserve"/>
      </w:r>
    </w:p>
    <w:p>
      <w:pPr>
        <w:pStyle w:val="Heading2"/>
        <w:spacing w:before="280" w:after="100"/>
      </w:pPr>
      <w:r>
        <w:rPr>
          <w:rFonts w:ascii="Arial" w:cs="Arial" w:eastAsia="Arial" w:hAnsi="Arial"/>
          <w:b/>
          <w:bCs/>
          <w:color w:val="9C27B0"/>
          <w:sz w:val="28"/>
          <w:szCs w:val="28"/>
        </w:rPr>
        <w:t xml:space="preserve">Scope Boundary</w:t>
      </w:r>
    </w:p>
    <w:p>
      <w:pPr>
        <w:spacing w:before="80" w:after="100"/>
      </w:pPr>
      <w:r>
        <w:rPr>
          <w:rFonts w:ascii="Arial" w:cs="Arial" w:eastAsia="Arial" w:hAnsi="Arial"/>
          <w:color w:val="1A1A2E"/>
          <w:sz w:val="22"/>
          <w:szCs w:val="22"/>
        </w:rPr>
        <w:t xml:space="preserve">Part 2 consumes the structured JSON investigation objects produced by Part 1 and has zero dependency on Neo4j, Airbyte, OpenAI, or Kafka internals. All integration is via the agreed JSON schema and a lightweight event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8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Owned by Part 2</w:t>
            </w:r>
          </w:p>
        </w:tc>
        <w:tc>
          <w:tcPr>
            <w:tcW w:type="dxa" w:w="316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Dependency on Part 1</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REST API &amp; Webhooks</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FastAPI endpoints, alert ingestion, auth middleware, Render deployment</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Consumes Investigation JSON (read-only)</w:t>
            </w:r>
          </w:p>
        </w:tc>
      </w:tr>
      <w:tr>
        <w:tc>
          <w:tcPr>
            <w:tcW w:type="dxa" w:w="24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Dashboard UI</w:t>
            </w:r>
          </w:p>
        </w:tc>
        <w:tc>
          <w:tcPr>
            <w:tcW w:type="dxa" w:w="3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Next.js app, graph visualization, incident timeline, engineer controls</w:t>
            </w:r>
          </w:p>
        </w:tc>
        <w:tc>
          <w:tcPr>
            <w:tcW w:type="dxa" w:w="31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Displays Investigation JSON data</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Notification Layer</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Slack integration, PagerDuty enrichment, email digests</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Triggered by Investigation JSON events</w:t>
            </w:r>
          </w:p>
        </w:tc>
      </w:tr>
      <w:tr>
        <w:tc>
          <w:tcPr>
            <w:tcW w:type="dxa" w:w="24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Auto-Remediation Catalog</w:t>
            </w:r>
          </w:p>
        </w:tc>
        <w:tc>
          <w:tcPr>
            <w:tcW w:type="dxa" w:w="3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Approved action list, execution logs, IAM role management</w:t>
            </w:r>
          </w:p>
        </w:tc>
        <w:tc>
          <w:tcPr>
            <w:tcW w:type="dxa" w:w="31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NBA recommendations from Part 1 JSON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Infrastructure / CI-CD</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Terraform (full platform), Helm charts, GitHub Actions pipelines</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Provisions Part 1 infrastructure as code</w:t>
            </w:r>
          </w:p>
        </w:tc>
      </w:tr>
      <w:tr>
        <w:tc>
          <w:tcPr>
            <w:tcW w:type="dxa" w:w="24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Evals Dashboard</w:t>
            </w:r>
          </w:p>
        </w:tc>
        <w:tc>
          <w:tcPr>
            <w:tcW w:type="dxa" w:w="3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Web UI showing accuracy trends, KPI scorecards</w:t>
            </w:r>
          </w:p>
        </w:tc>
        <w:tc>
          <w:tcPr>
            <w:tcW w:type="dxa" w:w="31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Reads Part 1 eval metrics from S3</w:t>
            </w:r>
          </w:p>
        </w:tc>
      </w:tr>
    </w:tbl>
    <w:p>
      <w:pPr>
        <w:spacing w:before="0" w:after="0"/>
      </w:pPr>
      <w:r>
        <w:rPr>
          <w:sz w:val="28"/>
          <w:szCs w:val="28"/>
        </w:rPr>
        <w:t xml:space="preserve"/>
      </w:r>
    </w:p>
    <w:p>
      <w:r>
        <w:br w:type="page"/>
      </w:r>
    </w:p>
    <w:p>
      <w:pPr>
        <w:pStyle w:val="Heading1"/>
        <w:pBdr>
          <w:bottom w:val="single" w:color="9C27B0" w:sz="8" w:space="6"/>
        </w:pBdr>
        <w:spacing w:before="360" w:after="120"/>
      </w:pPr>
      <w:r>
        <w:rPr>
          <w:rFonts w:ascii="Arial" w:cs="Arial" w:eastAsia="Arial" w:hAnsi="Arial"/>
          <w:b/>
          <w:bCs/>
          <w:color w:val="7B2D8B"/>
          <w:sz w:val="36"/>
          <w:szCs w:val="36"/>
        </w:rPr>
        <w:t xml:space="preserve">1. REST API &amp; Alert Webhook Layer</w:t>
      </w:r>
    </w:p>
    <w:p>
      <w:pPr>
        <w:pStyle w:val="Heading2"/>
        <w:spacing w:before="280" w:after="100"/>
      </w:pPr>
      <w:r>
        <w:rPr>
          <w:rFonts w:ascii="Arial" w:cs="Arial" w:eastAsia="Arial" w:hAnsi="Arial"/>
          <w:b/>
          <w:bCs/>
          <w:color w:val="9C27B0"/>
          <w:sz w:val="28"/>
          <w:szCs w:val="28"/>
        </w:rPr>
        <w:t xml:space="preserve">1.1 Architecture Overview</w:t>
      </w:r>
    </w:p>
    <w:p>
      <w:pPr>
        <w:spacing w:before="80" w:after="100"/>
      </w:pPr>
      <w:r>
        <w:rPr>
          <w:rFonts w:ascii="Arial" w:cs="Arial" w:eastAsia="Arial" w:hAnsi="Arial"/>
          <w:color w:val="1A1A2E"/>
          <w:sz w:val="22"/>
          <w:szCs w:val="22"/>
        </w:rPr>
        <w:t xml:space="preserve">The API layer is the operational nerve center of Part 2. Built on FastAPI 0.115+, it serves as the integration point between Part 1's investigation engine, external alert sources (PagerDuty, CloudWatch, OpsGenie), the dashboard frontend, and third-party automation systems. It is deployed on Render as a Web Service with auto-scaling enabled.</w:t>
      </w:r>
    </w:p>
    <w:p>
      <w:pPr>
        <w:spacing w:before="80" w:after="100"/>
      </w:pPr>
      <w:r>
        <w:rPr>
          <w:rFonts w:ascii="Arial" w:cs="Arial" w:eastAsia="Arial" w:hAnsi="Arial"/>
          <w:color w:val="1A1A2E"/>
          <w:sz w:val="22"/>
          <w:szCs w:val="22"/>
        </w:rPr>
        <w:t xml:space="preserve">The API has two distinct operational modes: inbound (receiving alerts from monitoring tools and dispatching them to Part 1's investigation queue) and outbound (serving investigation results, recommendations, and platform status to the dashboard and downstream integrations).</w:t>
      </w:r>
    </w:p>
    <w:p>
      <w:pPr>
        <w:pStyle w:val="Heading2"/>
        <w:spacing w:before="280" w:after="100"/>
      </w:pPr>
      <w:r>
        <w:rPr>
          <w:rFonts w:ascii="Arial" w:cs="Arial" w:eastAsia="Arial" w:hAnsi="Arial"/>
          <w:b/>
          <w:bCs/>
          <w:color w:val="9C27B0"/>
          <w:sz w:val="28"/>
          <w:szCs w:val="28"/>
        </w:rPr>
        <w:t xml:space="preserve">1.2 API Endpoint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500"/>
        <w:gridCol w:w="2460"/>
      </w:tblGrid>
      <w:tr>
        <w:trPr>
          <w:tblHeader/>
        </w:trPr>
        <w:tc>
          <w:tcPr>
            <w:tcW w:type="dxa" w:w="8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6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35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46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Auth</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/webhooks/alert</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Receive alert payloads from PagerDuty, CloudWatch, OpsGenie, custom sources</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HMAC-SHA256 signature</w:t>
            </w:r>
          </w:p>
        </w:tc>
      </w:tr>
      <w:tr>
        <w:tc>
          <w:tcPr>
            <w:tcW w:type="dxa" w:w="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6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/investigations</w:t>
            </w:r>
          </w:p>
        </w:tc>
        <w:tc>
          <w:tcPr>
            <w:tcW w:type="dxa" w:w="35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List investigations with filters (status, service, severity, date range)</w:t>
            </w:r>
          </w:p>
        </w:tc>
        <w:tc>
          <w:tcPr>
            <w:tcW w:type="dxa" w:w="24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JWT Bearer</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/investigations/{id}</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Retrieve full investigation JSON object by ID</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 Bearer</w:t>
            </w:r>
          </w:p>
        </w:tc>
      </w:tr>
      <w:tr>
        <w:tc>
          <w:tcPr>
            <w:tcW w:type="dxa" w:w="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6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/investigations/{id}/graph</w:t>
            </w:r>
          </w:p>
        </w:tc>
        <w:tc>
          <w:tcPr>
            <w:tcW w:type="dxa" w:w="35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Return Neo4j subgraph snapshot URL for visualization</w:t>
            </w:r>
          </w:p>
        </w:tc>
        <w:tc>
          <w:tcPr>
            <w:tcW w:type="dxa" w:w="24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JWT Bearer</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/services</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 all services in the knowledge graph with health status</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 Bearer</w:t>
            </w:r>
          </w:p>
        </w:tc>
      </w:tr>
      <w:tr>
        <w:tc>
          <w:tcPr>
            <w:tcW w:type="dxa" w:w="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6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/services/{name}/history</w:t>
            </w:r>
          </w:p>
        </w:tc>
        <w:tc>
          <w:tcPr>
            <w:tcW w:type="dxa" w:w="35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Return incident history and RCA trend for a specific service</w:t>
            </w:r>
          </w:p>
        </w:tc>
        <w:tc>
          <w:tcPr>
            <w:tcW w:type="dxa" w:w="24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JWT Bearer</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/remediation/{action_id}/execute</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Execute a pre-approved remediation action from the NBA catalog</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 Bearer + MFA token</w:t>
            </w:r>
          </w:p>
        </w:tc>
      </w:tr>
      <w:tr>
        <w:tc>
          <w:tcPr>
            <w:tcW w:type="dxa" w:w="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6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/remediation/catalog</w:t>
            </w:r>
          </w:p>
        </w:tc>
        <w:tc>
          <w:tcPr>
            <w:tcW w:type="dxa" w:w="35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List all pre-approved auto-remediation actions with metadata</w:t>
            </w:r>
          </w:p>
        </w:tc>
        <w:tc>
          <w:tcPr>
            <w:tcW w:type="dxa" w:w="24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JWT Bearer</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/health</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 health check: API, Part 1 queue depth, Neo4j connectivity</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 (public)</w:t>
            </w:r>
          </w:p>
        </w:tc>
      </w:tr>
      <w:tr>
        <w:tc>
          <w:tcPr>
            <w:tcW w:type="dxa" w:w="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6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/metrics</w:t>
            </w:r>
          </w:p>
        </w:tc>
        <w:tc>
          <w:tcPr>
            <w:tcW w:type="dxa" w:w="35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Prometheus-format KPI metrics for external scraping</w:t>
            </w:r>
          </w:p>
        </w:tc>
        <w:tc>
          <w:tcPr>
            <w:tcW w:type="dxa" w:w="24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API key</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/evals/summary</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Latest eval accuracy scores and KPI trends from Part 1 harness</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 Bearer</w:t>
            </w:r>
          </w:p>
        </w:tc>
      </w:tr>
      <w:tr>
        <w:tc>
          <w:tcPr>
            <w:tcW w:type="dxa" w:w="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26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/feedback/{investigation_id}</w:t>
            </w:r>
          </w:p>
        </w:tc>
        <w:tc>
          <w:tcPr>
            <w:tcW w:type="dxa" w:w="35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Engineer submits RCA rating and correction for eval dataset update</w:t>
            </w:r>
          </w:p>
        </w:tc>
        <w:tc>
          <w:tcPr>
            <w:tcW w:type="dxa" w:w="24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JWT Bearer</w:t>
            </w:r>
          </w:p>
        </w:tc>
      </w:tr>
    </w:tbl>
    <w:p>
      <w:pPr>
        <w:spacing w:before="0" w:after="0"/>
      </w:pPr>
      <w:r>
        <w:rPr>
          <w:sz w:val="14"/>
          <w:szCs w:val="14"/>
        </w:rPr>
        <w:t xml:space="preserve"/>
      </w:r>
    </w:p>
    <w:p>
      <w:pPr>
        <w:pStyle w:val="Heading2"/>
        <w:spacing w:before="280" w:after="100"/>
      </w:pPr>
      <w:r>
        <w:rPr>
          <w:rFonts w:ascii="Arial" w:cs="Arial" w:eastAsia="Arial" w:hAnsi="Arial"/>
          <w:b/>
          <w:bCs/>
          <w:color w:val="9C27B0"/>
          <w:sz w:val="28"/>
          <w:szCs w:val="28"/>
        </w:rPr>
        <w:t xml:space="preserve">1.3 Alert Webhook Ingestion</w:t>
      </w:r>
    </w:p>
    <w:p>
      <w:pPr>
        <w:spacing w:before="80" w:after="100"/>
      </w:pPr>
      <w:r>
        <w:rPr>
          <w:rFonts w:ascii="Arial" w:cs="Arial" w:eastAsia="Arial" w:hAnsi="Arial"/>
          <w:color w:val="1A1A2E"/>
          <w:sz w:val="22"/>
          <w:szCs w:val="22"/>
        </w:rPr>
        <w:t xml:space="preserve">When an alert fires from any monitoring source, it arrives at POST /webhooks/alert. The webhook handler performs the following steps before dispatching to Part 1:</w:t>
      </w:r>
    </w:p>
    <w:p>
      <w:pPr>
        <w:pStyle w:val="ListParagraph"/>
        <w:numPr>
          <w:ilvl w:val="0"/>
          <w:numId w:val="2"/>
        </w:numPr>
        <w:spacing w:before="60" w:after="60"/>
      </w:pPr>
      <w:r>
        <w:rPr>
          <w:rFonts w:ascii="Arial" w:cs="Arial" w:eastAsia="Arial" w:hAnsi="Arial"/>
          <w:b w:val="false"/>
          <w:bCs w:val="false"/>
          <w:color w:val="1A1A2E"/>
          <w:sz w:val="22"/>
          <w:szCs w:val="22"/>
        </w:rPr>
        <w:t xml:space="preserve">Signature verification: HMAC-SHA256 validation against the source's shared secret (stored in AWS Secrets Manager)</w:t>
      </w:r>
    </w:p>
    <w:p>
      <w:pPr>
        <w:pStyle w:val="ListParagraph"/>
        <w:numPr>
          <w:ilvl w:val="0"/>
          <w:numId w:val="2"/>
        </w:numPr>
        <w:spacing w:before="60" w:after="60"/>
      </w:pPr>
      <w:r>
        <w:rPr>
          <w:rFonts w:ascii="Arial" w:cs="Arial" w:eastAsia="Arial" w:hAnsi="Arial"/>
          <w:b w:val="false"/>
          <w:bCs w:val="false"/>
          <w:color w:val="1A1A2E"/>
          <w:sz w:val="22"/>
          <w:szCs w:val="22"/>
        </w:rPr>
        <w:t xml:space="preserve">Alert normalization: maps source-specific fields to the platform's alert schema (alert_id, service_name, severity, description, fired_at)</w:t>
      </w:r>
    </w:p>
    <w:p>
      <w:pPr>
        <w:pStyle w:val="ListParagraph"/>
        <w:numPr>
          <w:ilvl w:val="0"/>
          <w:numId w:val="2"/>
        </w:numPr>
        <w:spacing w:before="60" w:after="60"/>
      </w:pPr>
      <w:r>
        <w:rPr>
          <w:rFonts w:ascii="Arial" w:cs="Arial" w:eastAsia="Arial" w:hAnsi="Arial"/>
          <w:b w:val="false"/>
          <w:bCs w:val="false"/>
          <w:color w:val="1A1A2E"/>
          <w:sz w:val="22"/>
          <w:szCs w:val="22"/>
        </w:rPr>
        <w:t xml:space="preserve">Deduplication: checks Redis cache for a duplicate alert_id within a 5-minute window to prevent storm flooding</w:t>
      </w:r>
    </w:p>
    <w:p>
      <w:pPr>
        <w:pStyle w:val="ListParagraph"/>
        <w:numPr>
          <w:ilvl w:val="0"/>
          <w:numId w:val="2"/>
        </w:numPr>
        <w:spacing w:before="60" w:after="60"/>
      </w:pPr>
      <w:r>
        <w:rPr>
          <w:rFonts w:ascii="Arial" w:cs="Arial" w:eastAsia="Arial" w:hAnsi="Arial"/>
          <w:b w:val="false"/>
          <w:bCs w:val="false"/>
          <w:color w:val="1A1A2E"/>
          <w:sz w:val="22"/>
          <w:szCs w:val="22"/>
        </w:rPr>
        <w:t xml:space="preserve">Priority triage: P1/P2 alerts dispatched immediately; P3/P4 queued with configurable delay</w:t>
      </w:r>
    </w:p>
    <w:p>
      <w:pPr>
        <w:pStyle w:val="ListParagraph"/>
        <w:numPr>
          <w:ilvl w:val="0"/>
          <w:numId w:val="2"/>
        </w:numPr>
        <w:spacing w:before="60" w:after="60"/>
      </w:pPr>
      <w:r>
        <w:rPr>
          <w:rFonts w:ascii="Arial" w:cs="Arial" w:eastAsia="Arial" w:hAnsi="Arial"/>
          <w:b w:val="false"/>
          <w:bCs w:val="false"/>
          <w:color w:val="1A1A2E"/>
          <w:sz w:val="22"/>
          <w:szCs w:val="22"/>
        </w:rPr>
        <w:t xml:space="preserve">Queue dispatch: normalized alert placed on the investigation queue (SQS or Kafka topic) consumed by Part 1's agent</w:t>
      </w:r>
    </w:p>
    <w:p>
      <w:pPr>
        <w:pStyle w:val="ListParagraph"/>
        <w:numPr>
          <w:ilvl w:val="0"/>
          <w:numId w:val="2"/>
        </w:numPr>
        <w:spacing w:before="60" w:after="60"/>
      </w:pPr>
      <w:r>
        <w:rPr>
          <w:rFonts w:ascii="Arial" w:cs="Arial" w:eastAsia="Arial" w:hAnsi="Arial"/>
          <w:b w:val="false"/>
          <w:bCs w:val="false"/>
          <w:color w:val="1A1A2E"/>
          <w:sz w:val="22"/>
          <w:szCs w:val="22"/>
        </w:rPr>
        <w:t xml:space="preserve">Acknowledgment: 200 OK returned to source within 500ms; investigation proceeds asynchronously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3E5F5" w:val="clear"/>
            <w:tcMar>
              <w:top w:type="dxa" w:w="160"/>
              <w:left w:type="dxa" w:w="200"/>
              <w:bottom w:type="dxa" w:w="160"/>
              <w:right w:type="dxa" w:w="200"/>
            </w:tcMar>
          </w:tcPr>
          <w:p>
            <w:pPr>
              <w:spacing w:before="0" w:after="80"/>
            </w:pPr>
            <w:r>
              <w:rPr>
                <w:rFonts w:ascii="Arial" w:cs="Arial" w:eastAsia="Arial" w:hAnsi="Arial"/>
                <w:b/>
                <w:bCs/>
                <w:color w:val="7B2D8B"/>
                <w:sz w:val="22"/>
                <w:szCs w:val="22"/>
              </w:rPr>
              <w:t xml:space="preserve">ALERT STORM PROTECTION</w:t>
            </w:r>
          </w:p>
          <w:p>
            <w:pPr>
              <w:spacing w:before="0" w:after="0"/>
            </w:pPr>
            <w:r>
              <w:rPr>
                <w:rFonts w:ascii="Arial" w:cs="Arial" w:eastAsia="Arial" w:hAnsi="Arial"/>
                <w:color w:val="1A1A2E"/>
                <w:sz w:val="21"/>
                <w:szCs w:val="21"/>
              </w:rPr>
              <w:t xml:space="preserve">The deduplication layer uses a sliding 5-minute window with a service-level rate limit of 10 unique alerts per window. Correlated alerts (same service, same error class, within 60 seconds) are collapsed into a single investigation with a correlation_group field, preventing agent queue saturation during cascading failures.</w:t>
            </w:r>
          </w:p>
        </w:tc>
      </w:tr>
    </w:tbl>
    <w:p>
      <w:pPr>
        <w:spacing w:before="0" w:after="0"/>
      </w:pPr>
      <w:r>
        <w:rPr>
          <w:sz w:val="14"/>
          <w:szCs w:val="14"/>
        </w:rPr>
        <w:t xml:space="preserve"/>
      </w:r>
    </w:p>
    <w:p>
      <w:pPr>
        <w:pStyle w:val="Heading2"/>
        <w:spacing w:before="280" w:after="100"/>
      </w:pPr>
      <w:r>
        <w:rPr>
          <w:rFonts w:ascii="Arial" w:cs="Arial" w:eastAsia="Arial" w:hAnsi="Arial"/>
          <w:b/>
          <w:bCs/>
          <w:color w:val="9C27B0"/>
          <w:sz w:val="28"/>
          <w:szCs w:val="28"/>
        </w:rPr>
        <w:t xml:space="preserve">1.4 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8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Applied To</w:t>
            </w:r>
          </w:p>
        </w:tc>
        <w:tc>
          <w:tcPr>
            <w:tcW w:type="dxa" w:w="416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Implementation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 Bearer (RS256)</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dashboard and internal API calls</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Issued by Auth0; 1-hour expiry; refresh tokens stored in HttpOnly cookies</w:t>
            </w:r>
          </w:p>
        </w:tc>
      </w:tr>
      <w:tr>
        <w:tc>
          <w:tcPr>
            <w:tcW w:type="dxa" w:w="24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HMAC-SHA256</w:t>
            </w:r>
          </w:p>
        </w:tc>
        <w:tc>
          <w:tcPr>
            <w:tcW w:type="dxa" w:w="2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Incoming webhooks from monitoring tools</w:t>
            </w:r>
          </w:p>
        </w:tc>
        <w:tc>
          <w:tcPr>
            <w:tcW w:type="dxa" w:w="41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Per-source shared secrets in AWS Secrets Manager; rotated every 90 days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 Key</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Prometheus metrics scraping, external integrations</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Hashed API keys in Secrets Manager; scoped to read-only endpoints</w:t>
            </w:r>
          </w:p>
        </w:tc>
      </w:tr>
      <w:tr>
        <w:tc>
          <w:tcPr>
            <w:tcW w:type="dxa" w:w="24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JWT + MFA Token</w:t>
            </w:r>
          </w:p>
        </w:tc>
        <w:tc>
          <w:tcPr>
            <w:tcW w:type="dxa" w:w="2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Remediation execution endpoint only</w:t>
            </w:r>
          </w:p>
        </w:tc>
        <w:tc>
          <w:tcPr>
            <w:tcW w:type="dxa" w:w="41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TOTP second factor required; 30-second time window; logged to CloudTrail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IAM Role (time-limited)</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Auto-remediation execution in AWS</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Separate IAM role with write permissions; credentials expire in 15 minutes</w:t>
            </w:r>
          </w:p>
        </w:tc>
      </w:tr>
    </w:tbl>
    <w:p>
      <w:pPr>
        <w:spacing w:before="0" w:after="0"/>
      </w:pPr>
      <w:r>
        <w:rPr>
          <w:sz w:val="28"/>
          <w:szCs w:val="28"/>
        </w:rPr>
        <w:t xml:space="preserve"/>
      </w:r>
    </w:p>
    <w:p>
      <w:r>
        <w:br w:type="page"/>
      </w:r>
    </w:p>
    <w:p>
      <w:pPr>
        <w:pStyle w:val="Heading1"/>
        <w:pBdr>
          <w:bottom w:val="single" w:color="9C27B0" w:sz="8" w:space="6"/>
        </w:pBdr>
        <w:spacing w:before="360" w:after="120"/>
      </w:pPr>
      <w:r>
        <w:rPr>
          <w:rFonts w:ascii="Arial" w:cs="Arial" w:eastAsia="Arial" w:hAnsi="Arial"/>
          <w:b/>
          <w:bCs/>
          <w:color w:val="7B2D8B"/>
          <w:sz w:val="36"/>
          <w:szCs w:val="36"/>
        </w:rPr>
        <w:t xml:space="preserve">2. Render Deployment</w:t>
      </w:r>
    </w:p>
    <w:p>
      <w:pPr>
        <w:pStyle w:val="Heading2"/>
        <w:spacing w:before="280" w:after="100"/>
      </w:pPr>
      <w:r>
        <w:rPr>
          <w:rFonts w:ascii="Arial" w:cs="Arial" w:eastAsia="Arial" w:hAnsi="Arial"/>
          <w:b/>
          <w:bCs/>
          <w:color w:val="9C27B0"/>
          <w:sz w:val="28"/>
          <w:szCs w:val="28"/>
        </w:rPr>
        <w:t xml:space="preserve">2.1 Why Render</w:t>
      </w:r>
    </w:p>
    <w:p>
      <w:pPr>
        <w:spacing w:before="80" w:after="100"/>
      </w:pPr>
      <w:r>
        <w:rPr>
          <w:rFonts w:ascii="Arial" w:cs="Arial" w:eastAsia="Arial" w:hAnsi="Arial"/>
          <w:color w:val="1A1A2E"/>
          <w:sz w:val="22"/>
          <w:szCs w:val="22"/>
        </w:rPr>
        <w:t xml:space="preserve">Render is selected as the deployment platform for Part 2's API and background workers because it eliminates infrastructure management overhead for the team's non-DevOps engineers. Key advantages: zero-configuration TLS on all endpoints, native auto-scaling, built-in preview deployments for every pull request, and first-class support for background workers and cron jobs.</w:t>
      </w:r>
    </w:p>
    <w:p>
      <w:pPr>
        <w:spacing w:before="80" w:after="100"/>
      </w:pPr>
      <w:r>
        <w:rPr>
          <w:rFonts w:ascii="Arial" w:cs="Arial" w:eastAsia="Arial" w:hAnsi="Arial"/>
          <w:color w:val="1A1A2E"/>
          <w:sz w:val="22"/>
          <w:szCs w:val="22"/>
        </w:rPr>
        <w:t xml:space="preserve">Render's managed platform allows the Frontend Engineer and Backend API engineer to ship without waiting on AWS infrastructure provisioning — accelerating the Part 2 development timeline.</w:t>
      </w:r>
    </w:p>
    <w:p>
      <w:pPr>
        <w:pStyle w:val="Heading2"/>
        <w:spacing w:before="280" w:after="100"/>
      </w:pPr>
      <w:r>
        <w:rPr>
          <w:rFonts w:ascii="Arial" w:cs="Arial" w:eastAsia="Arial" w:hAnsi="Arial"/>
          <w:b/>
          <w:bCs/>
          <w:color w:val="9C27B0"/>
          <w:sz w:val="28"/>
          <w:szCs w:val="28"/>
        </w:rPr>
        <w:t xml:space="preserve">2.2 Render Service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2360"/>
      </w:tblGrid>
      <w:tr>
        <w:trPr>
          <w:tblHeader/>
        </w:trPr>
        <w:tc>
          <w:tcPr>
            <w:tcW w:type="dxa" w:w="18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Service Type</w:t>
            </w:r>
          </w:p>
        </w:tc>
        <w:tc>
          <w:tcPr>
            <w:tcW w:type="dxa" w:w="20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32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236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Scaling</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 Service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sre-api</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FastAPI REST API + webhook handler</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Auto-scale: 1–5 instances; scale on CPU &gt; 70%</w:t>
            </w:r>
          </w:p>
        </w:tc>
      </w:tr>
      <w:tr>
        <w:tc>
          <w:tcPr>
            <w:tcW w:type="dxa" w:w="1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Web Service</w:t>
            </w:r>
          </w:p>
        </w:tc>
        <w:tc>
          <w:tcPr>
            <w:tcW w:type="dxa" w:w="20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sre-dashboard</w:t>
            </w:r>
          </w:p>
        </w:tc>
        <w:tc>
          <w:tcPr>
            <w:tcW w:type="dxa" w:w="3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Next.js SSR frontend</w:t>
            </w:r>
          </w:p>
        </w:tc>
        <w:tc>
          <w:tcPr>
            <w:tcW w:type="dxa" w:w="23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Auto-scale: 1–3 instances; static assets via CDN</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Background Worker</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investigation-consumer</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Polls SQS/Kafka for completed Part 1 investigations; fans out to Slack, PagerDuty</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1–3 instances; scale on queue depth</w:t>
            </w:r>
          </w:p>
        </w:tc>
      </w:tr>
      <w:tr>
        <w:tc>
          <w:tcPr>
            <w:tcW w:type="dxa" w:w="1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Background Worker</w:t>
            </w:r>
          </w:p>
        </w:tc>
        <w:tc>
          <w:tcPr>
            <w:tcW w:type="dxa" w:w="20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remediation-executor</w:t>
            </w:r>
          </w:p>
        </w:tc>
        <w:tc>
          <w:tcPr>
            <w:tcW w:type="dxa" w:w="3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Executes approved remediation actions; logs to S3 audit trail</w:t>
            </w:r>
          </w:p>
        </w:tc>
        <w:tc>
          <w:tcPr>
            <w:tcW w:type="dxa" w:w="23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1 instance; no auto-scale (serialized for safety)</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Cron Job</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eval-metrics-sync</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Pulls Part 1 eval metrics from S3; updates dashboard KPI store</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Runs every 15 minutes</w:t>
            </w:r>
          </w:p>
        </w:tc>
      </w:tr>
      <w:tr>
        <w:tc>
          <w:tcPr>
            <w:tcW w:type="dxa" w:w="1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Cron Job</w:t>
            </w:r>
          </w:p>
        </w:tc>
        <w:tc>
          <w:tcPr>
            <w:tcW w:type="dxa" w:w="20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incident-digest</w:t>
            </w:r>
          </w:p>
        </w:tc>
        <w:tc>
          <w:tcPr>
            <w:tcW w:type="dxa" w:w="3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Generates daily incident summary email for on-call leads</w:t>
            </w:r>
          </w:p>
        </w:tc>
        <w:tc>
          <w:tcPr>
            <w:tcW w:type="dxa" w:w="23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Runs daily at 08:00 UTC</w:t>
            </w:r>
          </w:p>
        </w:tc>
      </w:tr>
    </w:tbl>
    <w:p>
      <w:pPr>
        <w:spacing w:before="0" w:after="0"/>
      </w:pPr>
      <w:r>
        <w:rPr>
          <w:sz w:val="14"/>
          <w:szCs w:val="14"/>
        </w:rPr>
        <w:t xml:space="preserve"/>
      </w:r>
    </w:p>
    <w:p>
      <w:pPr>
        <w:pStyle w:val="Heading2"/>
        <w:spacing w:before="280" w:after="100"/>
      </w:pPr>
      <w:r>
        <w:rPr>
          <w:rFonts w:ascii="Arial" w:cs="Arial" w:eastAsia="Arial" w:hAnsi="Arial"/>
          <w:b/>
          <w:bCs/>
          <w:color w:val="9C27B0"/>
          <w:sz w:val="28"/>
          <w:szCs w:val="28"/>
        </w:rPr>
        <w:t xml:space="preserve">2.3 Environment Configuration</w:t>
      </w:r>
    </w:p>
    <w:p>
      <w:pPr>
        <w:pStyle w:val="ListParagraph"/>
        <w:numPr>
          <w:ilvl w:val="0"/>
          <w:numId w:val="2"/>
        </w:numPr>
        <w:spacing w:before="60" w:after="60"/>
      </w:pPr>
      <w:r>
        <w:rPr>
          <w:rFonts w:ascii="Arial" w:cs="Arial" w:eastAsia="Arial" w:hAnsi="Arial"/>
          <w:b w:val="false"/>
          <w:bCs w:val="false"/>
          <w:color w:val="1A1A2E"/>
          <w:sz w:val="22"/>
          <w:szCs w:val="22"/>
        </w:rPr>
        <w:t xml:space="preserve">All environment variables fetched from AWS Secrets Manager at container start; zero env var secrets in Render dashboard</w:t>
      </w:r>
    </w:p>
    <w:p>
      <w:pPr>
        <w:pStyle w:val="ListParagraph"/>
        <w:numPr>
          <w:ilvl w:val="0"/>
          <w:numId w:val="2"/>
        </w:numPr>
        <w:spacing w:before="60" w:after="60"/>
      </w:pPr>
      <w:r>
        <w:rPr>
          <w:rFonts w:ascii="Arial" w:cs="Arial" w:eastAsia="Arial" w:hAnsi="Arial"/>
          <w:b w:val="false"/>
          <w:bCs w:val="false"/>
          <w:color w:val="1A1A2E"/>
          <w:sz w:val="22"/>
          <w:szCs w:val="22"/>
        </w:rPr>
        <w:t xml:space="preserve">Render Preview Environments: every PR gets a full preview deployment with a unique URL for QA testing</w:t>
      </w:r>
    </w:p>
    <w:p>
      <w:pPr>
        <w:pStyle w:val="ListParagraph"/>
        <w:numPr>
          <w:ilvl w:val="0"/>
          <w:numId w:val="2"/>
        </w:numPr>
        <w:spacing w:before="60" w:after="60"/>
      </w:pPr>
      <w:r>
        <w:rPr>
          <w:rFonts w:ascii="Arial" w:cs="Arial" w:eastAsia="Arial" w:hAnsi="Arial"/>
          <w:b w:val="false"/>
          <w:bCs w:val="false"/>
          <w:color w:val="1A1A2E"/>
          <w:sz w:val="22"/>
          <w:szCs w:val="22"/>
        </w:rPr>
        <w:t xml:space="preserve">Blue/green deployments: zero-downtime releases via Render's built-in deployment strategy</w:t>
      </w:r>
    </w:p>
    <w:p>
      <w:pPr>
        <w:pStyle w:val="ListParagraph"/>
        <w:numPr>
          <w:ilvl w:val="0"/>
          <w:numId w:val="2"/>
        </w:numPr>
        <w:spacing w:before="60" w:after="60"/>
      </w:pPr>
      <w:r>
        <w:rPr>
          <w:rFonts w:ascii="Arial" w:cs="Arial" w:eastAsia="Arial" w:hAnsi="Arial"/>
          <w:b w:val="false"/>
          <w:bCs w:val="false"/>
          <w:color w:val="1A1A2E"/>
          <w:sz w:val="22"/>
          <w:szCs w:val="22"/>
        </w:rPr>
        <w:t xml:space="preserve">Health check: /health endpoint polled every 30 seconds; automatic rollback if 3 consecutive failures</w:t>
      </w:r>
    </w:p>
    <w:p>
      <w:pPr>
        <w:pStyle w:val="ListParagraph"/>
        <w:numPr>
          <w:ilvl w:val="0"/>
          <w:numId w:val="2"/>
        </w:numPr>
        <w:spacing w:before="60" w:after="60"/>
      </w:pPr>
      <w:r>
        <w:rPr>
          <w:rFonts w:ascii="Arial" w:cs="Arial" w:eastAsia="Arial" w:hAnsi="Arial"/>
          <w:b w:val="false"/>
          <w:bCs w:val="false"/>
          <w:color w:val="1A1A2E"/>
          <w:sz w:val="22"/>
          <w:szCs w:val="22"/>
        </w:rPr>
        <w:t xml:space="preserve">Render region: US-East (collocated with EKS cluster to minimize cross-region latency for investigation result fetching)</w:t>
      </w:r>
    </w:p>
    <w:p>
      <w:pPr>
        <w:spacing w:before="0" w:after="0"/>
      </w:pPr>
      <w:r>
        <w:rPr>
          <w:sz w:val="28"/>
          <w:szCs w:val="28"/>
        </w:rPr>
        <w:t xml:space="preserve"/>
      </w:r>
    </w:p>
    <w:p>
      <w:r>
        <w:br w:type="page"/>
      </w:r>
    </w:p>
    <w:p>
      <w:pPr>
        <w:pStyle w:val="Heading1"/>
        <w:pBdr>
          <w:bottom w:val="single" w:color="9C27B0" w:sz="8" w:space="6"/>
        </w:pBdr>
        <w:spacing w:before="360" w:after="120"/>
      </w:pPr>
      <w:r>
        <w:rPr>
          <w:rFonts w:ascii="Arial" w:cs="Arial" w:eastAsia="Arial" w:hAnsi="Arial"/>
          <w:b/>
          <w:bCs/>
          <w:color w:val="7B2D8B"/>
          <w:sz w:val="36"/>
          <w:szCs w:val="36"/>
        </w:rPr>
        <w:t xml:space="preserve">3. Next.js Dashboard</w:t>
      </w:r>
    </w:p>
    <w:p>
      <w:pPr>
        <w:pStyle w:val="Heading2"/>
        <w:spacing w:before="280" w:after="100"/>
      </w:pPr>
      <w:r>
        <w:rPr>
          <w:rFonts w:ascii="Arial" w:cs="Arial" w:eastAsia="Arial" w:hAnsi="Arial"/>
          <w:b/>
          <w:bCs/>
          <w:color w:val="9C27B0"/>
          <w:sz w:val="28"/>
          <w:szCs w:val="28"/>
        </w:rPr>
        <w:t xml:space="preserve">3.1 Dashboard Architecture</w:t>
      </w:r>
    </w:p>
    <w:p>
      <w:pPr>
        <w:spacing w:before="80" w:after="100"/>
      </w:pPr>
      <w:r>
        <w:rPr>
          <w:rFonts w:ascii="Arial" w:cs="Arial" w:eastAsia="Arial" w:hAnsi="Arial"/>
          <w:color w:val="1A1A2E"/>
          <w:sz w:val="22"/>
          <w:szCs w:val="22"/>
        </w:rPr>
        <w:t xml:space="preserve">The dashboard is a Next.js 14+ application using the App Router, deployed on Render as a server-side rendered web service. It is the primary interface through which on-call engineers consume investigation results, explore system topology, and manage remediation actions.</w:t>
      </w:r>
    </w:p>
    <w:p>
      <w:pPr>
        <w:spacing w:before="80" w:after="100"/>
      </w:pPr>
      <w:r>
        <w:rPr>
          <w:rFonts w:ascii="Arial" w:cs="Arial" w:eastAsia="Arial" w:hAnsi="Arial"/>
          <w:color w:val="1A1A2E"/>
          <w:sz w:val="22"/>
          <w:szCs w:val="22"/>
        </w:rPr>
        <w:t xml:space="preserve">The dashboard has zero direct connections to Neo4j, Airbyte, or OpenAI. All data flows through the sre-api REST layer, which enforces authorization and rate limiting. This separation ensures that dashboard development never requires Part 1 infrastructure access.</w:t>
      </w:r>
    </w:p>
    <w:p>
      <w:pPr>
        <w:pStyle w:val="Heading2"/>
        <w:spacing w:before="280" w:after="100"/>
      </w:pPr>
      <w:r>
        <w:rPr>
          <w:rFonts w:ascii="Arial" w:cs="Arial" w:eastAsia="Arial" w:hAnsi="Arial"/>
          <w:b/>
          <w:bCs/>
          <w:color w:val="9C27B0"/>
          <w:sz w:val="28"/>
          <w:szCs w:val="28"/>
        </w:rPr>
        <w:t xml:space="preserve">3.2 Page &amp; Feature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2160"/>
      </w:tblGrid>
      <w:tr>
        <w:trPr>
          <w:tblHeader/>
        </w:trPr>
        <w:tc>
          <w:tcPr>
            <w:tcW w:type="dxa" w:w="22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Page / Feature</w:t>
            </w:r>
          </w:p>
        </w:tc>
        <w:tc>
          <w:tcPr>
            <w:tcW w:type="dxa" w:w="18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32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16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Data Sources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Incident Feed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Real-time list of active and recent investigations; severity badges; confidence scores; status indicators</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 /investigations</w:t>
            </w:r>
          </w:p>
        </w:tc>
      </w:tr>
      <w:tr>
        <w:tc>
          <w:tcPr>
            <w:tcW w:type="dxa" w:w="2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Investigation Detail</w:t>
            </w:r>
          </w:p>
        </w:tc>
        <w:tc>
          <w:tcPr>
            <w:tcW w:type="dxa" w:w="1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/investigations/[id]</w:t>
            </w:r>
          </w:p>
        </w:tc>
        <w:tc>
          <w:tcPr>
            <w:tcW w:type="dxa" w:w="3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Full investigation view: RCA narrative, hypothesis tree, evidence citations, external sources, blast radius list</w:t>
            </w:r>
          </w:p>
        </w:tc>
        <w:tc>
          <w:tcPr>
            <w:tcW w:type="dxa" w:w="21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GET /investigations/{id}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Graph Topology Explorer</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/graph</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Interactive Neovis.js visualization of service dependency graph; click-to-explore nodes; filter by service/AZ/team</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 /investigations/{id}/graph + WebSocket for live updates</w:t>
            </w:r>
          </w:p>
        </w:tc>
      </w:tr>
      <w:tr>
        <w:tc>
          <w:tcPr>
            <w:tcW w:type="dxa" w:w="2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Incident Timeline</w:t>
            </w:r>
          </w:p>
        </w:tc>
        <w:tc>
          <w:tcPr>
            <w:tcW w:type="dxa" w:w="1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/timeline</w:t>
            </w:r>
          </w:p>
        </w:tc>
        <w:tc>
          <w:tcPr>
            <w:tcW w:type="dxa" w:w="3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Chronological view of incidents, deployments, and config changes correlated on a shared time axis</w:t>
            </w:r>
          </w:p>
        </w:tc>
        <w:tc>
          <w:tcPr>
            <w:tcW w:type="dxa" w:w="21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GET /investigations + /services/{name}/history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Remediation Center</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/remediation</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Approved action catalog; one-click execution with MFA; execution history and audit log</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 /remediation/catalog + POST /remediation/{id}/execute</w:t>
            </w:r>
          </w:p>
        </w:tc>
      </w:tr>
      <w:tr>
        <w:tc>
          <w:tcPr>
            <w:tcW w:type="dxa" w:w="2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Service Health Map</w:t>
            </w:r>
          </w:p>
        </w:tc>
        <w:tc>
          <w:tcPr>
            <w:tcW w:type="dxa" w:w="1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/services</w:t>
            </w:r>
          </w:p>
        </w:tc>
        <w:tc>
          <w:tcPr>
            <w:tcW w:type="dxa" w:w="3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Grid of all monitored services with real-time health status, last deployment, SLA tier, and active incident count</w:t>
            </w:r>
          </w:p>
        </w:tc>
        <w:tc>
          <w:tcPr>
            <w:tcW w:type="dxa" w:w="21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GET /services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KPI Dashboard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/kpis</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 performance: MTTRC trend, investigation accuracy, alert-to-investigation latency, auto-remediation success rate</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 /evals/summary + GET /metrics</w:t>
            </w:r>
          </w:p>
        </w:tc>
      </w:tr>
      <w:tr>
        <w:tc>
          <w:tcPr>
            <w:tcW w:type="dxa" w:w="2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Eval &amp; Feedback</w:t>
            </w:r>
          </w:p>
        </w:tc>
        <w:tc>
          <w:tcPr>
            <w:tcW w:type="dxa" w:w="1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/feedback</w:t>
            </w:r>
          </w:p>
        </w:tc>
        <w:tc>
          <w:tcPr>
            <w:tcW w:type="dxa" w:w="3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Engineer RCA rating interface; correction submission; accuracy trend charts by service and alert type</w:t>
            </w:r>
          </w:p>
        </w:tc>
        <w:tc>
          <w:tcPr>
            <w:tcW w:type="dxa" w:w="21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POST /feedback/{id} + GET /evals/summary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Settings &amp; Integrations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/settings</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Manage notification channels (Slack, PagerDuty, email), webhook sources, team ownership mappings</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Admin API endpoints</w:t>
            </w:r>
          </w:p>
        </w:tc>
      </w:tr>
    </w:tbl>
    <w:p>
      <w:pPr>
        <w:spacing w:before="0" w:after="0"/>
      </w:pPr>
      <w:r>
        <w:rPr>
          <w:sz w:val="14"/>
          <w:szCs w:val="14"/>
        </w:rPr>
        <w:t xml:space="preserve"/>
      </w:r>
    </w:p>
    <w:p>
      <w:pPr>
        <w:pStyle w:val="Heading2"/>
        <w:spacing w:before="280" w:after="100"/>
      </w:pPr>
      <w:r>
        <w:rPr>
          <w:rFonts w:ascii="Arial" w:cs="Arial" w:eastAsia="Arial" w:hAnsi="Arial"/>
          <w:b/>
          <w:bCs/>
          <w:color w:val="9C27B0"/>
          <w:sz w:val="28"/>
          <w:szCs w:val="28"/>
        </w:rPr>
        <w:t xml:space="preserve">3.3 Graph Visualization — Neovis.js</w:t>
      </w:r>
    </w:p>
    <w:p>
      <w:pPr>
        <w:spacing w:before="80" w:after="100"/>
      </w:pPr>
      <w:r>
        <w:rPr>
          <w:rFonts w:ascii="Arial" w:cs="Arial" w:eastAsia="Arial" w:hAnsi="Arial"/>
          <w:color w:val="1A1A2E"/>
          <w:sz w:val="22"/>
          <w:szCs w:val="22"/>
        </w:rPr>
        <w:t xml:space="preserve">The Graph Topology Explorer is the most technically complex component of the dashboard. It uses Neovis.js — a Neo4j-native visualization library — to render an interactive, force-directed graph of the service dependency topology extracted from each investigation's graph snapshot.</w:t>
      </w:r>
    </w:p>
    <w:p>
      <w:pPr>
        <w:pStyle w:val="Heading3"/>
        <w:spacing w:before="200" w:after="80"/>
      </w:pPr>
      <w:r>
        <w:rPr>
          <w:rFonts w:ascii="Arial" w:cs="Arial" w:eastAsia="Arial" w:hAnsi="Arial"/>
          <w:b/>
          <w:bCs/>
          <w:color w:val="404040"/>
          <w:sz w:val="24"/>
          <w:szCs w:val="24"/>
        </w:rPr>
        <w:t xml:space="preserve">Key Visualization Features</w:t>
      </w:r>
    </w:p>
    <w:p>
      <w:pPr>
        <w:pStyle w:val="ListParagraph"/>
        <w:numPr>
          <w:ilvl w:val="0"/>
          <w:numId w:val="2"/>
        </w:numPr>
        <w:spacing w:before="60" w:after="60"/>
      </w:pPr>
      <w:r>
        <w:rPr>
          <w:rFonts w:ascii="Arial" w:cs="Arial" w:eastAsia="Arial" w:hAnsi="Arial"/>
          <w:b w:val="false"/>
          <w:bCs w:val="false"/>
          <w:color w:val="1A1A2E"/>
          <w:sz w:val="22"/>
          <w:szCs w:val="22"/>
        </w:rPr>
        <w:t xml:space="preserve">Node types rendered as distinct shapes: services (circles), hosts (squares), deployments (diamonds), incidents (warning triangles)</w:t>
      </w:r>
    </w:p>
    <w:p>
      <w:pPr>
        <w:pStyle w:val="ListParagraph"/>
        <w:numPr>
          <w:ilvl w:val="0"/>
          <w:numId w:val="2"/>
        </w:numPr>
        <w:spacing w:before="60" w:after="60"/>
      </w:pPr>
      <w:r>
        <w:rPr>
          <w:rFonts w:ascii="Arial" w:cs="Arial" w:eastAsia="Arial" w:hAnsi="Arial"/>
          <w:b w:val="false"/>
          <w:bCs w:val="false"/>
          <w:color w:val="1A1A2E"/>
          <w:sz w:val="22"/>
          <w:szCs w:val="22"/>
        </w:rPr>
        <w:t xml:space="preserve">Edge thickness encodes call volume; edge color encodes error rate (green &lt; 1%, yellow 1–5%, red &gt; 5%)</w:t>
      </w:r>
    </w:p>
    <w:p>
      <w:pPr>
        <w:pStyle w:val="ListParagraph"/>
        <w:numPr>
          <w:ilvl w:val="0"/>
          <w:numId w:val="2"/>
        </w:numPr>
        <w:spacing w:before="60" w:after="60"/>
      </w:pPr>
      <w:r>
        <w:rPr>
          <w:rFonts w:ascii="Arial" w:cs="Arial" w:eastAsia="Arial" w:hAnsi="Arial"/>
          <w:b w:val="false"/>
          <w:bCs w:val="false"/>
          <w:color w:val="1A1A2E"/>
          <w:sz w:val="22"/>
          <w:szCs w:val="22"/>
        </w:rPr>
        <w:t xml:space="preserve">Click on any node: panel slides in with node properties, recent alerts, and linked incidents</w:t>
      </w:r>
    </w:p>
    <w:p>
      <w:pPr>
        <w:pStyle w:val="ListParagraph"/>
        <w:numPr>
          <w:ilvl w:val="0"/>
          <w:numId w:val="2"/>
        </w:numPr>
        <w:spacing w:before="60" w:after="60"/>
      </w:pPr>
      <w:r>
        <w:rPr>
          <w:rFonts w:ascii="Arial" w:cs="Arial" w:eastAsia="Arial" w:hAnsi="Arial"/>
          <w:b w:val="false"/>
          <w:bCs w:val="false"/>
          <w:color w:val="1A1A2E"/>
          <w:sz w:val="22"/>
          <w:szCs w:val="22"/>
        </w:rPr>
        <w:t xml:space="preserve">Root cause highlighting: the identified root cause node is highlighted in red; propagation path animated with directional arrows</w:t>
      </w:r>
    </w:p>
    <w:p>
      <w:pPr>
        <w:pStyle w:val="ListParagraph"/>
        <w:numPr>
          <w:ilvl w:val="0"/>
          <w:numId w:val="2"/>
        </w:numPr>
        <w:spacing w:before="60" w:after="60"/>
      </w:pPr>
      <w:r>
        <w:rPr>
          <w:rFonts w:ascii="Arial" w:cs="Arial" w:eastAsia="Arial" w:hAnsi="Arial"/>
          <w:b w:val="false"/>
          <w:bCs w:val="false"/>
          <w:color w:val="1A1A2E"/>
          <w:sz w:val="22"/>
          <w:szCs w:val="22"/>
        </w:rPr>
        <w:t xml:space="preserve">Blast radius overlay: services within 2 hops of root cause are shaded amber to indicate potential impact</w:t>
      </w:r>
    </w:p>
    <w:p>
      <w:pPr>
        <w:pStyle w:val="ListParagraph"/>
        <w:numPr>
          <w:ilvl w:val="0"/>
          <w:numId w:val="2"/>
        </w:numPr>
        <w:spacing w:before="60" w:after="60"/>
      </w:pPr>
      <w:r>
        <w:rPr>
          <w:rFonts w:ascii="Arial" w:cs="Arial" w:eastAsia="Arial" w:hAnsi="Arial"/>
          <w:b w:val="false"/>
          <w:bCs w:val="false"/>
          <w:color w:val="1A1A2E"/>
          <w:sz w:val="22"/>
          <w:szCs w:val="22"/>
        </w:rPr>
        <w:t xml:space="preserve">Time scrubber: engineers can replay the graph state at any point during the incident window</w:t>
      </w:r>
    </w:p>
    <w:p>
      <w:pPr>
        <w:pStyle w:val="ListParagraph"/>
        <w:numPr>
          <w:ilvl w:val="0"/>
          <w:numId w:val="2"/>
        </w:numPr>
        <w:spacing w:before="60" w:after="60"/>
      </w:pPr>
      <w:r>
        <w:rPr>
          <w:rFonts w:ascii="Arial" w:cs="Arial" w:eastAsia="Arial" w:hAnsi="Arial"/>
          <w:b w:val="false"/>
          <w:bCs w:val="false"/>
          <w:color w:val="1A1A2E"/>
          <w:sz w:val="22"/>
          <w:szCs w:val="22"/>
        </w:rPr>
        <w:t xml:space="preserve">Export: PNG snapshot and Cypher subgraph query export for post-mortem documentation</w:t>
      </w:r>
    </w:p>
    <w:p>
      <w:pPr>
        <w:pStyle w:val="Heading2"/>
        <w:spacing w:before="280" w:after="100"/>
      </w:pPr>
      <w:r>
        <w:rPr>
          <w:rFonts w:ascii="Arial" w:cs="Arial" w:eastAsia="Arial" w:hAnsi="Arial"/>
          <w:b/>
          <w:bCs/>
          <w:color w:val="9C27B0"/>
          <w:sz w:val="28"/>
          <w:szCs w:val="28"/>
        </w:rPr>
        <w:t xml:space="preserve">3.4 Real-Time Updates — WebSocket Layer</w:t>
      </w:r>
    </w:p>
    <w:p>
      <w:pPr>
        <w:spacing w:before="80" w:after="100"/>
      </w:pPr>
      <w:r>
        <w:rPr>
          <w:rFonts w:ascii="Arial" w:cs="Arial" w:eastAsia="Arial" w:hAnsi="Arial"/>
          <w:color w:val="1A1A2E"/>
          <w:sz w:val="22"/>
          <w:szCs w:val="22"/>
        </w:rPr>
        <w:t xml:space="preserve">Active investigations are surfaced in real-time via WebSocket connections (Socket.IO on the sre-api service). When Part 1 completes an investigation or updates its status, the API broadcasts to all connected dashboard clients. This eliminates polling and ensures engineers see the latest investigation state without manual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WebSocket Event</w:t>
            </w:r>
          </w:p>
        </w:tc>
        <w:tc>
          <w:tcPr>
            <w:tcW w:type="dxa" w:w="28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Trigger</w:t>
            </w:r>
          </w:p>
        </w:tc>
        <w:tc>
          <w:tcPr>
            <w:tcW w:type="dxa" w:w="416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Dashboard Behavior</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investigation:created</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 investigation dispatched for an alert</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card to Incident Feed with 'In Progress' badge</w:t>
            </w:r>
          </w:p>
        </w:tc>
      </w:tr>
      <w:tr>
        <w:tc>
          <w:tcPr>
            <w:tcW w:type="dxa" w:w="24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investigation:updated</w:t>
            </w:r>
          </w:p>
        </w:tc>
        <w:tc>
          <w:tcPr>
            <w:tcW w:type="dxa" w:w="2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Investigation step completed (e.g., hypotheses generated)</w:t>
            </w:r>
          </w:p>
        </w:tc>
        <w:tc>
          <w:tcPr>
            <w:tcW w:type="dxa" w:w="41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Update progress indicator on investigation detail page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investigation:completed</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JSON output available from Part 1</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Update investigation card with confidence score, RCA summary, and CTA buttons</w:t>
            </w:r>
          </w:p>
        </w:tc>
      </w:tr>
      <w:tr>
        <w:tc>
          <w:tcPr>
            <w:tcW w:type="dxa" w:w="24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investigation:requires_review</w:t>
            </w:r>
          </w:p>
        </w:tc>
        <w:tc>
          <w:tcPr>
            <w:tcW w:type="dxa" w:w="2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Confidence &lt; 0.85 — human review needed</w:t>
            </w:r>
          </w:p>
        </w:tc>
        <w:tc>
          <w:tcPr>
            <w:tcW w:type="dxa" w:w="41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Red banner on investigation card; Slack notification sent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remediation:executed</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Auto-remediation action completed</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Update remediation center log; push confirmation to engineer who triggered action</w:t>
            </w:r>
          </w:p>
        </w:tc>
      </w:tr>
      <w:tr>
        <w:tc>
          <w:tcPr>
            <w:tcW w:type="dxa" w:w="24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service:health_changed</w:t>
            </w:r>
          </w:p>
        </w:tc>
        <w:tc>
          <w:tcPr>
            <w:tcW w:type="dxa" w:w="2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Service status changes in knowledge graph</w:t>
            </w:r>
          </w:p>
        </w:tc>
        <w:tc>
          <w:tcPr>
            <w:tcW w:type="dxa" w:w="41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Update service health map tile color</w:t>
            </w:r>
          </w:p>
        </w:tc>
      </w:tr>
    </w:tbl>
    <w:p>
      <w:pPr>
        <w:spacing w:before="0" w:after="0"/>
      </w:pPr>
      <w:r>
        <w:rPr>
          <w:sz w:val="28"/>
          <w:szCs w:val="28"/>
        </w:rPr>
        <w:t xml:space="preserve"/>
      </w:r>
    </w:p>
    <w:p>
      <w:r>
        <w:br w:type="page"/>
      </w:r>
    </w:p>
    <w:p>
      <w:pPr>
        <w:pStyle w:val="Heading1"/>
        <w:pBdr>
          <w:bottom w:val="single" w:color="9C27B0" w:sz="8" w:space="6"/>
        </w:pBdr>
        <w:spacing w:before="360" w:after="120"/>
      </w:pPr>
      <w:r>
        <w:rPr>
          <w:rFonts w:ascii="Arial" w:cs="Arial" w:eastAsia="Arial" w:hAnsi="Arial"/>
          <w:b/>
          <w:bCs/>
          <w:color w:val="7B2D8B"/>
          <w:sz w:val="36"/>
          <w:szCs w:val="36"/>
        </w:rPr>
        <w:t xml:space="preserve">4. Notification &amp; Integration Layer</w:t>
      </w:r>
    </w:p>
    <w:p>
      <w:pPr>
        <w:pStyle w:val="Heading2"/>
        <w:spacing w:before="280" w:after="100"/>
      </w:pPr>
      <w:r>
        <w:rPr>
          <w:rFonts w:ascii="Arial" w:cs="Arial" w:eastAsia="Arial" w:hAnsi="Arial"/>
          <w:b/>
          <w:bCs/>
          <w:color w:val="9C27B0"/>
          <w:sz w:val="28"/>
          <w:szCs w:val="28"/>
        </w:rPr>
        <w:t xml:space="preserve">4.1 Slack Integration</w:t>
      </w:r>
    </w:p>
    <w:p>
      <w:pPr>
        <w:spacing w:before="80" w:after="100"/>
      </w:pPr>
      <w:r>
        <w:rPr>
          <w:rFonts w:ascii="Arial" w:cs="Arial" w:eastAsia="Arial" w:hAnsi="Arial"/>
          <w:color w:val="1A1A2E"/>
          <w:sz w:val="22"/>
          <w:szCs w:val="22"/>
        </w:rPr>
        <w:t xml:space="preserve">Slack is the primary notification channel for on-call engineers. The investigation-consumer background worker publishes richly formatted Slack messages to the configured incident channel whenever a new investigation is completed.</w:t>
      </w:r>
    </w:p>
    <w:p>
      <w:pPr>
        <w:pStyle w:val="Heading3"/>
        <w:spacing w:before="200" w:after="80"/>
      </w:pPr>
      <w:r>
        <w:rPr>
          <w:rFonts w:ascii="Arial" w:cs="Arial" w:eastAsia="Arial" w:hAnsi="Arial"/>
          <w:b/>
          <w:bCs/>
          <w:color w:val="404040"/>
          <w:sz w:val="24"/>
          <w:szCs w:val="24"/>
        </w:rPr>
        <w:t xml:space="preserve">Slack Message Anatomy</w:t>
      </w:r>
    </w:p>
    <w:p>
      <w:pPr>
        <w:pStyle w:val="ListParagraph"/>
        <w:numPr>
          <w:ilvl w:val="0"/>
          <w:numId w:val="2"/>
        </w:numPr>
        <w:spacing w:before="60" w:after="60"/>
      </w:pPr>
      <w:r>
        <w:rPr>
          <w:rFonts w:ascii="Arial" w:cs="Arial" w:eastAsia="Arial" w:hAnsi="Arial"/>
          <w:b w:val="false"/>
          <w:bCs w:val="false"/>
          <w:color w:val="1A1A2E"/>
          <w:sz w:val="22"/>
          <w:szCs w:val="22"/>
        </w:rPr>
        <w:t xml:space="preserve">Header block: alert name, severity badge, affected service(s), fired_at timestamp</w:t>
      </w:r>
    </w:p>
    <w:p>
      <w:pPr>
        <w:pStyle w:val="ListParagraph"/>
        <w:numPr>
          <w:ilvl w:val="0"/>
          <w:numId w:val="2"/>
        </w:numPr>
        <w:spacing w:before="60" w:after="60"/>
      </w:pPr>
      <w:r>
        <w:rPr>
          <w:rFonts w:ascii="Arial" w:cs="Arial" w:eastAsia="Arial" w:hAnsi="Arial"/>
          <w:b w:val="false"/>
          <w:bCs w:val="false"/>
          <w:color w:val="1A1A2E"/>
          <w:sz w:val="22"/>
          <w:szCs w:val="22"/>
        </w:rPr>
        <w:t xml:space="preserve">Root cause block: one-sentence RCA summary; confidence score with color indicator (green/amber/red)</w:t>
      </w:r>
    </w:p>
    <w:p>
      <w:pPr>
        <w:pStyle w:val="ListParagraph"/>
        <w:numPr>
          <w:ilvl w:val="0"/>
          <w:numId w:val="2"/>
        </w:numPr>
        <w:spacing w:before="60" w:after="60"/>
      </w:pPr>
      <w:r>
        <w:rPr>
          <w:rFonts w:ascii="Arial" w:cs="Arial" w:eastAsia="Arial" w:hAnsi="Arial"/>
          <w:b w:val="false"/>
          <w:bCs w:val="false"/>
          <w:color w:val="1A1A2E"/>
          <w:sz w:val="22"/>
          <w:szCs w:val="22"/>
        </w:rPr>
        <w:t xml:space="preserve">Evidence block: top 3 evidence citations as bulleted list with Neo4j graph links</w:t>
      </w:r>
    </w:p>
    <w:p>
      <w:pPr>
        <w:pStyle w:val="ListParagraph"/>
        <w:numPr>
          <w:ilvl w:val="0"/>
          <w:numId w:val="2"/>
        </w:numPr>
        <w:spacing w:before="60" w:after="60"/>
      </w:pPr>
      <w:r>
        <w:rPr>
          <w:rFonts w:ascii="Arial" w:cs="Arial" w:eastAsia="Arial" w:hAnsi="Arial"/>
          <w:b w:val="false"/>
          <w:bCs w:val="false"/>
          <w:color w:val="1A1A2E"/>
          <w:sz w:val="22"/>
          <w:szCs w:val="22"/>
        </w:rPr>
        <w:t xml:space="preserve">Action buttons: 'View Full Investigation' (links to dashboard), 'Acknowledge', 'Execute Recommended Action' (if catalog-approved)</w:t>
      </w:r>
    </w:p>
    <w:p>
      <w:pPr>
        <w:pStyle w:val="ListParagraph"/>
        <w:numPr>
          <w:ilvl w:val="0"/>
          <w:numId w:val="2"/>
        </w:numPr>
        <w:spacing w:before="60" w:after="60"/>
      </w:pPr>
      <w:r>
        <w:rPr>
          <w:rFonts w:ascii="Arial" w:cs="Arial" w:eastAsia="Arial" w:hAnsi="Arial"/>
          <w:b w:val="false"/>
          <w:bCs w:val="false"/>
          <w:color w:val="1A1A2E"/>
          <w:sz w:val="22"/>
          <w:szCs w:val="22"/>
        </w:rPr>
        <w:t xml:space="preserve">Thread replies: each investigation step completion (hypotheses generated, evidence collected, etc.) posts as a thread reply for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3E5F5" w:val="clear"/>
            <w:tcMar>
              <w:top w:type="dxa" w:w="160"/>
              <w:left w:type="dxa" w:w="200"/>
              <w:bottom w:type="dxa" w:w="160"/>
              <w:right w:type="dxa" w:w="200"/>
            </w:tcMar>
          </w:tcPr>
          <w:p>
            <w:pPr>
              <w:spacing w:before="0" w:after="80"/>
            </w:pPr>
            <w:r>
              <w:rPr>
                <w:rFonts w:ascii="Arial" w:cs="Arial" w:eastAsia="Arial" w:hAnsi="Arial"/>
                <w:b/>
                <w:bCs/>
                <w:color w:val="7B2D8B"/>
                <w:sz w:val="22"/>
                <w:szCs w:val="22"/>
              </w:rPr>
              <w:t xml:space="preserve">SLACK DESIGN PRINCIPLE</w:t>
            </w:r>
          </w:p>
          <w:p>
            <w:pPr>
              <w:spacing w:before="0" w:after="0"/>
            </w:pPr>
            <w:r>
              <w:rPr>
                <w:rFonts w:ascii="Arial" w:cs="Arial" w:eastAsia="Arial" w:hAnsi="Arial"/>
                <w:color w:val="1A1A2E"/>
                <w:sz w:val="21"/>
                <w:szCs w:val="21"/>
              </w:rPr>
              <w:t xml:space="preserve">Slack messages are optimized for the on-call engineer who is half-asleep at 3 AM. Every message must convey: what broke, why it broke (with confidence), and what to do next — all visible without scrolling or clicking through. Dense information architecture, not verbose prose.</w:t>
            </w:r>
          </w:p>
        </w:tc>
      </w:tr>
    </w:tbl>
    <w:p>
      <w:pPr>
        <w:spacing w:before="0" w:after="0"/>
      </w:pPr>
      <w:r>
        <w:rPr>
          <w:sz w:val="14"/>
          <w:szCs w:val="14"/>
        </w:rPr>
        <w:t xml:space="preserve"/>
      </w:r>
    </w:p>
    <w:p>
      <w:pPr>
        <w:pStyle w:val="Heading2"/>
        <w:spacing w:before="280" w:after="100"/>
      </w:pPr>
      <w:r>
        <w:rPr>
          <w:rFonts w:ascii="Arial" w:cs="Arial" w:eastAsia="Arial" w:hAnsi="Arial"/>
          <w:b/>
          <w:bCs/>
          <w:color w:val="9C27B0"/>
          <w:sz w:val="28"/>
          <w:szCs w:val="28"/>
        </w:rPr>
        <w:t xml:space="preserve">4.2 PagerDuty Enrichment</w:t>
      </w:r>
    </w:p>
    <w:p>
      <w:pPr>
        <w:spacing w:before="80" w:after="100"/>
      </w:pPr>
      <w:r>
        <w:rPr>
          <w:rFonts w:ascii="Arial" w:cs="Arial" w:eastAsia="Arial" w:hAnsi="Arial"/>
          <w:color w:val="1A1A2E"/>
          <w:sz w:val="22"/>
          <w:szCs w:val="22"/>
        </w:rPr>
        <w:t xml:space="preserve">When an alert arrives via the PagerDuty webhook, the investigation result is written back to the originating PagerDuty incident as a note — enriching the PagerDuty timeline with structured RCA context. This keeps the PagerDuty incident log as the single source of truth for incident responders who prefer to work inside PagerDuty rather than the dashboard.</w:t>
      </w:r>
    </w:p>
    <w:p>
      <w:pPr>
        <w:pStyle w:val="Heading2"/>
        <w:spacing w:before="280" w:after="100"/>
      </w:pPr>
      <w:r>
        <w:rPr>
          <w:rFonts w:ascii="Arial" w:cs="Arial" w:eastAsia="Arial" w:hAnsi="Arial"/>
          <w:b/>
          <w:bCs/>
          <w:color w:val="9C27B0"/>
          <w:sz w:val="28"/>
          <w:szCs w:val="28"/>
        </w:rPr>
        <w:t xml:space="preserve">4.3 Email Digest</w:t>
      </w:r>
    </w:p>
    <w:p>
      <w:pPr>
        <w:spacing w:before="80" w:after="100"/>
      </w:pPr>
      <w:r>
        <w:rPr>
          <w:rFonts w:ascii="Arial" w:cs="Arial" w:eastAsia="Arial" w:hAnsi="Arial"/>
          <w:color w:val="1A1A2E"/>
          <w:sz w:val="22"/>
          <w:szCs w:val="22"/>
        </w:rPr>
        <w:t xml:space="preserve">The email cron job generates a daily digest at 08:00 UTC summarizing the previous 24 hours of investigations for on-call leads and engineering managers. Content includes: total investigation count by severity, top 5 recurring root causes, mean investigation latency vs. target, and a link to the KPI dashboard.</w:t>
      </w:r>
    </w:p>
    <w:p>
      <w:pPr>
        <w:spacing w:before="0" w:after="0"/>
      </w:pPr>
      <w:r>
        <w:rPr>
          <w:sz w:val="28"/>
          <w:szCs w:val="28"/>
        </w:rPr>
        <w:t xml:space="preserve"/>
      </w:r>
    </w:p>
    <w:p>
      <w:r>
        <w:br w:type="page"/>
      </w:r>
    </w:p>
    <w:p>
      <w:pPr>
        <w:pStyle w:val="Heading1"/>
        <w:pBdr>
          <w:bottom w:val="single" w:color="9C27B0" w:sz="8" w:space="6"/>
        </w:pBdr>
        <w:spacing w:before="360" w:after="120"/>
      </w:pPr>
      <w:r>
        <w:rPr>
          <w:rFonts w:ascii="Arial" w:cs="Arial" w:eastAsia="Arial" w:hAnsi="Arial"/>
          <w:b/>
          <w:bCs/>
          <w:color w:val="7B2D8B"/>
          <w:sz w:val="36"/>
          <w:szCs w:val="36"/>
        </w:rPr>
        <w:t xml:space="preserve">5. Auto-Remediation Catalog</w:t>
      </w:r>
    </w:p>
    <w:p>
      <w:pPr>
        <w:pStyle w:val="Heading2"/>
        <w:spacing w:before="280" w:after="100"/>
      </w:pPr>
      <w:r>
        <w:rPr>
          <w:rFonts w:ascii="Arial" w:cs="Arial" w:eastAsia="Arial" w:hAnsi="Arial"/>
          <w:b/>
          <w:bCs/>
          <w:color w:val="9C27B0"/>
          <w:sz w:val="28"/>
          <w:szCs w:val="28"/>
        </w:rPr>
        <w:t xml:space="preserve">5.1 Design Philosophy</w:t>
      </w:r>
    </w:p>
    <w:p>
      <w:pPr>
        <w:spacing w:before="80" w:after="100"/>
      </w:pPr>
      <w:r>
        <w:rPr>
          <w:rFonts w:ascii="Arial" w:cs="Arial" w:eastAsia="Arial" w:hAnsi="Arial"/>
          <w:color w:val="1A1A2E"/>
          <w:sz w:val="22"/>
          <w:szCs w:val="22"/>
        </w:rPr>
        <w:t xml:space="preserve">Auto-remediation is Part 2's most sensitive responsibility. Executed actions directly mutate production infrastructure. The design therefore prioritizes safety over speed: every action in the catalog is pre-approved by the SRE SME and Platform Tech Lead, requires explicit engineer authorization (with MFA) for first-time execution, and is logged to an immutable audit trail.</w:t>
      </w:r>
    </w:p>
    <w:p>
      <w:pPr>
        <w:pStyle w:val="Heading2"/>
        <w:spacing w:before="280" w:after="100"/>
      </w:pPr>
      <w:r>
        <w:rPr>
          <w:rFonts w:ascii="Arial" w:cs="Arial" w:eastAsia="Arial" w:hAnsi="Arial"/>
          <w:b/>
          <w:bCs/>
          <w:color w:val="9C27B0"/>
          <w:sz w:val="28"/>
          <w:szCs w:val="28"/>
        </w:rPr>
        <w:t xml:space="preserve">5.2 Initial Action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800"/>
        <w:gridCol w:w="1200"/>
        <w:gridCol w:w="1560"/>
      </w:tblGrid>
      <w:tr>
        <w:trPr>
          <w:tblHeader/>
        </w:trPr>
        <w:tc>
          <w:tcPr>
            <w:tcW w:type="dxa" w:w="12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Action ID</w:t>
            </w:r>
          </w:p>
        </w:tc>
        <w:tc>
          <w:tcPr>
            <w:tcW w:type="dxa" w:w="26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Action Name</w:t>
            </w:r>
          </w:p>
        </w:tc>
        <w:tc>
          <w:tcPr>
            <w:tcW w:type="dxa" w:w="28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Trigger Condition</w:t>
            </w:r>
          </w:p>
        </w:tc>
        <w:tc>
          <w:tcPr>
            <w:tcW w:type="dxa" w:w="12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Risk Level</w:t>
            </w:r>
          </w:p>
        </w:tc>
        <w:tc>
          <w:tcPr>
            <w:tcW w:type="dxa" w:w="156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Requires MFA</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ACT-001</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ECS Service Restart</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 CPU &gt; 90% for 5 min with no deployment in last 2 hrs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r>
      <w:tr>
        <w:tc>
          <w:tcPr>
            <w:tcW w:type="dxa" w:w="1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ACT-002</w:t>
            </w:r>
          </w:p>
        </w:tc>
        <w:tc>
          <w:tcPr>
            <w:tcW w:type="dxa" w:w="26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ECS Desired Count Scale-Out</w:t>
            </w:r>
          </w:p>
        </w:tc>
        <w:tc>
          <w:tcPr>
            <w:tcW w:type="dxa" w:w="2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Service error rate &gt; 5% with CPU &gt; 70%; agent confidence &gt; 0.85</w:t>
            </w:r>
          </w:p>
        </w:tc>
        <w:tc>
          <w:tcPr>
            <w:tcW w:type="dxa" w:w="1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15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No</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ACT-003</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Lambda Concurrency Increase</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Lambda throttle rate &gt; 10% for 3 consecutive minutes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r>
      <w:tr>
        <w:tc>
          <w:tcPr>
            <w:tcW w:type="dxa" w:w="1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ACT-004</w:t>
            </w:r>
          </w:p>
        </w:tc>
        <w:tc>
          <w:tcPr>
            <w:tcW w:type="dxa" w:w="26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RDS Read Replica Failover</w:t>
            </w:r>
          </w:p>
        </w:tc>
        <w:tc>
          <w:tcPr>
            <w:tcW w:type="dxa" w:w="2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Primary RDS CPU &gt; 95% for 10 min; read replica healthy</w:t>
            </w:r>
          </w:p>
        </w:tc>
        <w:tc>
          <w:tcPr>
            <w:tcW w:type="dxa" w:w="1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5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ACT-005</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Deployment Rollback (last known good)</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Error rate spike within 30 min of deployment; agent confidence &gt; 0.90</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1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ACT-006</w:t>
            </w:r>
          </w:p>
        </w:tc>
        <w:tc>
          <w:tcPr>
            <w:tcW w:type="dxa" w:w="26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ALB Target Group Deregister</w:t>
            </w:r>
          </w:p>
        </w:tc>
        <w:tc>
          <w:tcPr>
            <w:tcW w:type="dxa" w:w="2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Specific EC2 instance failure rate &gt; 50% for 5 min</w:t>
            </w:r>
          </w:p>
        </w:tc>
        <w:tc>
          <w:tcPr>
            <w:tcW w:type="dxa" w:w="1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5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ACT-007</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Circuit Breaker Enable</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Downstream dependency error rate &gt; 30%; latency &gt; 3x baseline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r>
      <w:tr>
        <w:tc>
          <w:tcPr>
            <w:tcW w:type="dxa" w:w="1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ACT-008</w:t>
            </w:r>
          </w:p>
        </w:tc>
        <w:tc>
          <w:tcPr>
            <w:tcW w:type="dxa" w:w="26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ElastiCache Flush (selected keys)</w:t>
            </w:r>
          </w:p>
        </w:tc>
        <w:tc>
          <w:tcPr>
            <w:tcW w:type="dxa" w:w="2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Cache poisoning pattern detected by agent with high confidence</w:t>
            </w:r>
          </w:p>
        </w:tc>
        <w:tc>
          <w:tcPr>
            <w:tcW w:type="dxa" w:w="1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5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Yes</w:t>
            </w:r>
          </w:p>
        </w:tc>
      </w:tr>
    </w:tbl>
    <w:p>
      <w:pPr>
        <w:spacing w:before="0" w:after="0"/>
      </w:pPr>
      <w:r>
        <w:rPr>
          <w:sz w:val="14"/>
          <w:szCs w:val="14"/>
        </w:rPr>
        <w:t xml:space="preserve"/>
      </w:r>
    </w:p>
    <w:p>
      <w:pPr>
        <w:spacing w:before="80" w:after="100"/>
      </w:pPr>
      <w:r>
        <w:rPr>
          <w:rFonts w:ascii="Arial" w:cs="Arial" w:eastAsia="Arial" w:hAnsi="Arial"/>
          <w:color w:val="1A1A2E"/>
          <w:sz w:val="22"/>
          <w:szCs w:val="22"/>
        </w:rPr>
        <w:t xml:space="preserve">New actions are added to the catalog through a change review process: SRE SME proposes, Platform Tech Lead approves, action is tested in staging for 1 week, then promoted to production. No action can be added to the catalog via code change alone — a separate catalog review meeting is required.</w:t>
      </w:r>
    </w:p>
    <w:p>
      <w:pPr>
        <w:pStyle w:val="Heading2"/>
        <w:spacing w:before="280" w:after="100"/>
      </w:pPr>
      <w:r>
        <w:rPr>
          <w:rFonts w:ascii="Arial" w:cs="Arial" w:eastAsia="Arial" w:hAnsi="Arial"/>
          <w:b/>
          <w:bCs/>
          <w:color w:val="9C27B0"/>
          <w:sz w:val="28"/>
          <w:szCs w:val="28"/>
        </w:rPr>
        <w:t xml:space="preserve">5.3 Execution Safety Controls</w:t>
      </w:r>
    </w:p>
    <w:p>
      <w:pPr>
        <w:pStyle w:val="ListParagraph"/>
        <w:numPr>
          <w:ilvl w:val="0"/>
          <w:numId w:val="2"/>
        </w:numPr>
        <w:spacing w:before="60" w:after="60"/>
      </w:pPr>
      <w:r>
        <w:rPr>
          <w:rFonts w:ascii="Arial" w:cs="Arial" w:eastAsia="Arial" w:hAnsi="Arial"/>
          <w:b w:val="false"/>
          <w:bCs w:val="false"/>
          <w:color w:val="1A1A2E"/>
          <w:sz w:val="22"/>
          <w:szCs w:val="22"/>
        </w:rPr>
        <w:t xml:space="preserve">Pre-execution check: agent re-queries Part 1 API to confirm investigation confidence is still ≥ threshold at time of execution</w:t>
      </w:r>
    </w:p>
    <w:p>
      <w:pPr>
        <w:pStyle w:val="ListParagraph"/>
        <w:numPr>
          <w:ilvl w:val="0"/>
          <w:numId w:val="2"/>
        </w:numPr>
        <w:spacing w:before="60" w:after="60"/>
      </w:pPr>
      <w:r>
        <w:rPr>
          <w:rFonts w:ascii="Arial" w:cs="Arial" w:eastAsia="Arial" w:hAnsi="Arial"/>
          <w:b w:val="false"/>
          <w:bCs w:val="false"/>
          <w:color w:val="1A1A2E"/>
          <w:sz w:val="22"/>
          <w:szCs w:val="22"/>
        </w:rPr>
        <w:t xml:space="preserve">Dry-run mode: all catalog actions support a dry-run flag that describes what would happen without executing — used in staging</w:t>
      </w:r>
    </w:p>
    <w:p>
      <w:pPr>
        <w:pStyle w:val="ListParagraph"/>
        <w:numPr>
          <w:ilvl w:val="0"/>
          <w:numId w:val="2"/>
        </w:numPr>
        <w:spacing w:before="60" w:after="60"/>
      </w:pPr>
      <w:r>
        <w:rPr>
          <w:rFonts w:ascii="Arial" w:cs="Arial" w:eastAsia="Arial" w:hAnsi="Arial"/>
          <w:b w:val="false"/>
          <w:bCs w:val="false"/>
          <w:color w:val="1A1A2E"/>
          <w:sz w:val="22"/>
          <w:szCs w:val="22"/>
        </w:rPr>
        <w:t xml:space="preserve">Blast radius check: execution blocked if more than 3 services would be affected (requires manual override)</w:t>
      </w:r>
    </w:p>
    <w:p>
      <w:pPr>
        <w:pStyle w:val="ListParagraph"/>
        <w:numPr>
          <w:ilvl w:val="0"/>
          <w:numId w:val="2"/>
        </w:numPr>
        <w:spacing w:before="60" w:after="60"/>
      </w:pPr>
      <w:r>
        <w:rPr>
          <w:rFonts w:ascii="Arial" w:cs="Arial" w:eastAsia="Arial" w:hAnsi="Arial"/>
          <w:b w:val="false"/>
          <w:bCs w:val="false"/>
          <w:color w:val="1A1A2E"/>
          <w:sz w:val="22"/>
          <w:szCs w:val="22"/>
        </w:rPr>
        <w:t xml:space="preserve">Rollback capability: every action has a defined rollback procedure stored in the catalog; rollback can be triggered from the dashboard within 15 minutes</w:t>
      </w:r>
    </w:p>
    <w:p>
      <w:pPr>
        <w:pStyle w:val="ListParagraph"/>
        <w:numPr>
          <w:ilvl w:val="0"/>
          <w:numId w:val="2"/>
        </w:numPr>
        <w:spacing w:before="60" w:after="60"/>
      </w:pPr>
      <w:r>
        <w:rPr>
          <w:rFonts w:ascii="Arial" w:cs="Arial" w:eastAsia="Arial" w:hAnsi="Arial"/>
          <w:b w:val="false"/>
          <w:bCs w:val="false"/>
          <w:color w:val="1A1A2E"/>
          <w:sz w:val="22"/>
          <w:szCs w:val="22"/>
        </w:rPr>
        <w:t xml:space="preserve">Audit trail: every execution attempt (successful or failed) written to S3 with: actor, timestamp, action_id, investigation_id, pre-execution state, post-execution state, CloudTrail validation</w:t>
      </w:r>
    </w:p>
    <w:p>
      <w:pPr>
        <w:spacing w:before="0" w:after="0"/>
      </w:pPr>
      <w:r>
        <w:rPr>
          <w:sz w:val="28"/>
          <w:szCs w:val="28"/>
        </w:rPr>
        <w:t xml:space="preserve"/>
      </w:r>
    </w:p>
    <w:p>
      <w:r>
        <w:br w:type="page"/>
      </w:r>
    </w:p>
    <w:p>
      <w:pPr>
        <w:pStyle w:val="Heading1"/>
        <w:pBdr>
          <w:bottom w:val="single" w:color="9C27B0" w:sz="8" w:space="6"/>
        </w:pBdr>
        <w:spacing w:before="360" w:after="120"/>
      </w:pPr>
      <w:r>
        <w:rPr>
          <w:rFonts w:ascii="Arial" w:cs="Arial" w:eastAsia="Arial" w:hAnsi="Arial"/>
          <w:b/>
          <w:bCs/>
          <w:color w:val="7B2D8B"/>
          <w:sz w:val="36"/>
          <w:szCs w:val="36"/>
        </w:rPr>
        <w:t xml:space="preserve">6. Infrastructure as Code — Terraform &amp; Helm</w:t>
      </w:r>
    </w:p>
    <w:p>
      <w:pPr>
        <w:pStyle w:val="Heading2"/>
        <w:spacing w:before="280" w:after="100"/>
      </w:pPr>
      <w:r>
        <w:rPr>
          <w:rFonts w:ascii="Arial" w:cs="Arial" w:eastAsia="Arial" w:hAnsi="Arial"/>
          <w:b/>
          <w:bCs/>
          <w:color w:val="9C27B0"/>
          <w:sz w:val="28"/>
          <w:szCs w:val="28"/>
        </w:rPr>
        <w:t xml:space="preserve">6.1 Terraform Responsibility Scope</w:t>
      </w:r>
    </w:p>
    <w:p>
      <w:pPr>
        <w:spacing w:before="80" w:after="100"/>
      </w:pPr>
      <w:r>
        <w:rPr>
          <w:rFonts w:ascii="Arial" w:cs="Arial" w:eastAsia="Arial" w:hAnsi="Arial"/>
          <w:color w:val="1A1A2E"/>
          <w:sz w:val="22"/>
          <w:szCs w:val="22"/>
        </w:rPr>
        <w:t xml:space="preserve">The DevOps/Platform Engineer owns the Terraform configuration in sre-platform/infra/. Critically, Part 2's Terraform modules provision infrastructure for the entire platform — including Part 1's resources. This is the one area where Part 2 has a coordination dependency on Part 1: infrastructure changes must be reviewed and tested by the Part 1 team before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Terraform Module</w:t>
            </w:r>
          </w:p>
        </w:tc>
        <w:tc>
          <w:tcPr>
            <w:tcW w:type="dxa" w:w="42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Resources Provisioned</w:t>
            </w:r>
          </w:p>
        </w:tc>
        <w:tc>
          <w:tcPr>
            <w:tcW w:type="dxa" w:w="276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Part Dependency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aws-eks</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EKS cluster, managed node groups, IAM roles for service accounts, VPC CNI</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Both parts — core cluster</w:t>
            </w:r>
          </w:p>
        </w:tc>
      </w:tr>
      <w:tr>
        <w:tc>
          <w:tcPr>
            <w:tcW w:type="dxa" w:w="24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aws-networking</w:t>
            </w:r>
          </w:p>
        </w:tc>
        <w:tc>
          <w:tcPr>
            <w:tcW w:type="dxa" w:w="4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VPC, private/public subnets, security groups, NAT Gateway, VPC peering to Neo4j</w:t>
            </w:r>
          </w:p>
        </w:tc>
        <w:tc>
          <w:tcPr>
            <w:tcW w:type="dxa" w:w="27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Both parts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aws-kafka-msk</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MSK cluster, broker configuration, topic definitions, encryption settings</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Part 1 (consumes)</w:t>
            </w:r>
          </w:p>
        </w:tc>
      </w:tr>
      <w:tr>
        <w:tc>
          <w:tcPr>
            <w:tcW w:type="dxa" w:w="24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aws-s3</w:t>
            </w:r>
          </w:p>
        </w:tc>
        <w:tc>
          <w:tcPr>
            <w:tcW w:type="dxa" w:w="4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Staging bucket (Part 1), investigation archive, audit trail, WAL bucket</w:t>
            </w:r>
          </w:p>
        </w:tc>
        <w:tc>
          <w:tcPr>
            <w:tcW w:type="dxa" w:w="27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Both parts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aws-secrets</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Secrets Manager entries for all API credentials; rotation Lambda triggers</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Both parts</w:t>
            </w:r>
          </w:p>
        </w:tc>
      </w:tr>
      <w:tr>
        <w:tc>
          <w:tcPr>
            <w:tcW w:type="dxa" w:w="24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aws-iam</w:t>
            </w:r>
          </w:p>
        </w:tc>
        <w:tc>
          <w:tcPr>
            <w:tcW w:type="dxa" w:w="4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IAM roles: graph-writer, sre-agent, remediation-executor, cloudwatch-reader</w:t>
            </w:r>
          </w:p>
        </w:tc>
        <w:tc>
          <w:tcPr>
            <w:tcW w:type="dxa" w:w="27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Both parts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aws-monitoring</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CloudWatch dashboards, alarms, SNS topics for platform health alerts</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Both parts</w:t>
            </w:r>
          </w:p>
        </w:tc>
      </w:tr>
      <w:tr>
        <w:tc>
          <w:tcPr>
            <w:tcW w:type="dxa" w:w="24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render-services</w:t>
            </w:r>
          </w:p>
        </w:tc>
        <w:tc>
          <w:tcPr>
            <w:tcW w:type="dxa" w:w="4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Render API service, dashboard service, background workers, cron jobs via Render API</w:t>
            </w:r>
          </w:p>
        </w:tc>
        <w:tc>
          <w:tcPr>
            <w:tcW w:type="dxa" w:w="27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Part 2 only</w:t>
            </w:r>
          </w:p>
        </w:tc>
      </w:tr>
    </w:tbl>
    <w:p>
      <w:pPr>
        <w:spacing w:before="0" w:after="0"/>
      </w:pPr>
      <w:r>
        <w:rPr>
          <w:sz w:val="14"/>
          <w:szCs w:val="14"/>
        </w:rPr>
        <w:t xml:space="preserve"/>
      </w:r>
    </w:p>
    <w:p>
      <w:pPr>
        <w:pStyle w:val="Heading2"/>
        <w:spacing w:before="280" w:after="100"/>
      </w:pPr>
      <w:r>
        <w:rPr>
          <w:rFonts w:ascii="Arial" w:cs="Arial" w:eastAsia="Arial" w:hAnsi="Arial"/>
          <w:b/>
          <w:bCs/>
          <w:color w:val="9C27B0"/>
          <w:sz w:val="28"/>
          <w:szCs w:val="28"/>
        </w:rPr>
        <w:t xml:space="preserve">6.2 Helm Chart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Helm Chart</w:t>
            </w:r>
          </w:p>
        </w:tc>
        <w:tc>
          <w:tcPr>
            <w:tcW w:type="dxa" w:w="40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Deploys</w:t>
            </w:r>
          </w:p>
        </w:tc>
        <w:tc>
          <w:tcPr>
            <w:tcW w:type="dxa" w:w="296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Managed By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airbyte</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Airbyte server, workers, scheduler, webapp</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Part 2 DevOps (runs on Part 1 cluster)</w:t>
            </w:r>
          </w:p>
        </w:tc>
      </w:tr>
      <w:tr>
        <w:tc>
          <w:tcPr>
            <w:tcW w:type="dxa" w:w="24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otel-collector</w:t>
            </w:r>
          </w:p>
        </w:tc>
        <w:tc>
          <w:tcPr>
            <w:tcW w:type="dxa" w:w="40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DaemonSet for OpenTelemetry Collector across all EKS nodes</w:t>
            </w:r>
          </w:p>
        </w:tc>
        <w:tc>
          <w:tcPr>
            <w:tcW w:type="dxa" w:w="29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Part 2 DevOps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kafka-flink</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Apache Flink job manager + task managers; Kafka Connect workers</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Part 2 DevOps</w:t>
            </w:r>
          </w:p>
        </w:tc>
      </w:tr>
      <w:tr>
        <w:tc>
          <w:tcPr>
            <w:tcW w:type="dxa" w:w="24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sre-agent</w:t>
            </w:r>
          </w:p>
        </w:tc>
        <w:tc>
          <w:tcPr>
            <w:tcW w:type="dxa" w:w="40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Part 1's investigation agent + graph writer as EKS Deployments</w:t>
            </w:r>
          </w:p>
        </w:tc>
        <w:tc>
          <w:tcPr>
            <w:tcW w:type="dxa" w:w="29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Part 2 DevOps (deployed by Part 1 team)</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monitoring</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Prometheus, Grafana, kube-state-metrics, node-exporter</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Part 2 DevOps</w:t>
            </w:r>
          </w:p>
        </w:tc>
      </w:tr>
    </w:tbl>
    <w:p>
      <w:pPr>
        <w:spacing w:before="0" w:after="0"/>
      </w:pPr>
      <w:r>
        <w:rPr>
          <w:sz w:val="14"/>
          <w:szCs w:val="14"/>
        </w:rPr>
        <w:t xml:space="preserve"/>
      </w:r>
    </w:p>
    <w:p>
      <w:pPr>
        <w:pStyle w:val="Heading2"/>
        <w:spacing w:before="280" w:after="100"/>
      </w:pPr>
      <w:r>
        <w:rPr>
          <w:rFonts w:ascii="Arial" w:cs="Arial" w:eastAsia="Arial" w:hAnsi="Arial"/>
          <w:b/>
          <w:bCs/>
          <w:color w:val="9C27B0"/>
          <w:sz w:val="28"/>
          <w:szCs w:val="28"/>
        </w:rPr>
        <w:t xml:space="preserve">6.3 CI/CD Pipeline — GitHub Actions</w:t>
      </w:r>
    </w:p>
    <w:p>
      <w:pPr>
        <w:spacing w:before="80" w:after="100"/>
      </w:pPr>
      <w:r>
        <w:rPr>
          <w:rFonts w:ascii="Arial" w:cs="Arial" w:eastAsia="Arial" w:hAnsi="Arial"/>
          <w:color w:val="1A1A2E"/>
          <w:sz w:val="22"/>
          <w:szCs w:val="22"/>
        </w:rPr>
        <w:t xml:space="preserve">All Terraform and Helm changes go through a standardized GitHub Actions pipeline:</w:t>
      </w:r>
    </w:p>
    <w:p>
      <w:pPr>
        <w:pStyle w:val="ListParagraph"/>
        <w:numPr>
          <w:ilvl w:val="0"/>
          <w:numId w:val="2"/>
        </w:numPr>
        <w:spacing w:before="60" w:after="60"/>
      </w:pPr>
      <w:r>
        <w:rPr>
          <w:rFonts w:ascii="Arial" w:cs="Arial" w:eastAsia="Arial" w:hAnsi="Arial"/>
          <w:b w:val="false"/>
          <w:bCs w:val="false"/>
          <w:color w:val="1A1A2E"/>
          <w:sz w:val="22"/>
          <w:szCs w:val="22"/>
        </w:rPr>
        <w:t xml:space="preserve">terraform plan: runs on every PR targeting infra/ — plan output posted as PR comment for review</w:t>
      </w:r>
    </w:p>
    <w:p>
      <w:pPr>
        <w:pStyle w:val="ListParagraph"/>
        <w:numPr>
          <w:ilvl w:val="0"/>
          <w:numId w:val="2"/>
        </w:numPr>
        <w:spacing w:before="60" w:after="60"/>
      </w:pPr>
      <w:r>
        <w:rPr>
          <w:rFonts w:ascii="Arial" w:cs="Arial" w:eastAsia="Arial" w:hAnsi="Arial"/>
          <w:b w:val="false"/>
          <w:bCs w:val="false"/>
          <w:color w:val="1A1A2E"/>
          <w:sz w:val="22"/>
          <w:szCs w:val="22"/>
        </w:rPr>
        <w:t xml:space="preserve">terraform apply: runs only on merge to main; requires approval from Platform Tech Lead</w:t>
      </w:r>
    </w:p>
    <w:p>
      <w:pPr>
        <w:pStyle w:val="ListParagraph"/>
        <w:numPr>
          <w:ilvl w:val="0"/>
          <w:numId w:val="2"/>
        </w:numPr>
        <w:spacing w:before="60" w:after="60"/>
      </w:pPr>
      <w:r>
        <w:rPr>
          <w:rFonts w:ascii="Arial" w:cs="Arial" w:eastAsia="Arial" w:hAnsi="Arial"/>
          <w:b w:val="false"/>
          <w:bCs w:val="false"/>
          <w:color w:val="1A1A2E"/>
          <w:sz w:val="22"/>
          <w:szCs w:val="22"/>
        </w:rPr>
        <w:t xml:space="preserve">helm lint + helm template: validates chart syntax and template rendering on every PR</w:t>
      </w:r>
    </w:p>
    <w:p>
      <w:pPr>
        <w:pStyle w:val="ListParagraph"/>
        <w:numPr>
          <w:ilvl w:val="0"/>
          <w:numId w:val="2"/>
        </w:numPr>
        <w:spacing w:before="60" w:after="60"/>
      </w:pPr>
      <w:r>
        <w:rPr>
          <w:rFonts w:ascii="Arial" w:cs="Arial" w:eastAsia="Arial" w:hAnsi="Arial"/>
          <w:b w:val="false"/>
          <w:bCs w:val="false"/>
          <w:color w:val="1A1A2E"/>
          <w:sz w:val="22"/>
          <w:szCs w:val="22"/>
        </w:rPr>
        <w:t xml:space="preserve">helm upgrade --dry-run: staged dry-run in the staging namespace before production promotion</w:t>
      </w:r>
    </w:p>
    <w:p>
      <w:pPr>
        <w:pStyle w:val="ListParagraph"/>
        <w:numPr>
          <w:ilvl w:val="0"/>
          <w:numId w:val="2"/>
        </w:numPr>
        <w:spacing w:before="60" w:after="60"/>
      </w:pPr>
      <w:r>
        <w:rPr>
          <w:rFonts w:ascii="Arial" w:cs="Arial" w:eastAsia="Arial" w:hAnsi="Arial"/>
          <w:b w:val="false"/>
          <w:bCs w:val="false"/>
          <w:color w:val="1A1A2E"/>
          <w:sz w:val="22"/>
          <w:szCs w:val="22"/>
        </w:rPr>
        <w:t xml:space="preserve">Render auto-deploy: every merge to main triggers automatic re-deployment of API and dashboard services on Render</w:t>
      </w:r>
    </w:p>
    <w:p>
      <w:pPr>
        <w:pStyle w:val="ListParagraph"/>
        <w:numPr>
          <w:ilvl w:val="0"/>
          <w:numId w:val="2"/>
        </w:numPr>
        <w:spacing w:before="60" w:after="60"/>
      </w:pPr>
      <w:r>
        <w:rPr>
          <w:rFonts w:ascii="Arial" w:cs="Arial" w:eastAsia="Arial" w:hAnsi="Arial"/>
          <w:b w:val="false"/>
          <w:bCs w:val="false"/>
          <w:color w:val="1A1A2E"/>
          <w:sz w:val="22"/>
          <w:szCs w:val="22"/>
        </w:rPr>
        <w:t xml:space="preserve">Security scan: Checkov runs on every Terraform PR to flag misconfigurations (open security groups, unencrypted resources, missing logging)</w:t>
      </w:r>
    </w:p>
    <w:p>
      <w:pPr>
        <w:spacing w:before="0" w:after="0"/>
      </w:pPr>
      <w:r>
        <w:rPr>
          <w:sz w:val="28"/>
          <w:szCs w:val="28"/>
        </w:rPr>
        <w:t xml:space="preserve"/>
      </w:r>
    </w:p>
    <w:p>
      <w:r>
        <w:br w:type="page"/>
      </w:r>
    </w:p>
    <w:p>
      <w:pPr>
        <w:pStyle w:val="Heading1"/>
        <w:pBdr>
          <w:bottom w:val="single" w:color="9C27B0" w:sz="8" w:space="6"/>
        </w:pBdr>
        <w:spacing w:before="360" w:after="120"/>
      </w:pPr>
      <w:r>
        <w:rPr>
          <w:rFonts w:ascii="Arial" w:cs="Arial" w:eastAsia="Arial" w:hAnsi="Arial"/>
          <w:b/>
          <w:bCs/>
          <w:color w:val="7B2D8B"/>
          <w:sz w:val="36"/>
          <w:szCs w:val="36"/>
        </w:rPr>
        <w:t xml:space="preserve">7. KPI Dashboard &amp; Feedback Loop</w:t>
      </w:r>
    </w:p>
    <w:p>
      <w:pPr>
        <w:pStyle w:val="Heading2"/>
        <w:spacing w:before="280" w:after="100"/>
      </w:pPr>
      <w:r>
        <w:rPr>
          <w:rFonts w:ascii="Arial" w:cs="Arial" w:eastAsia="Arial" w:hAnsi="Arial"/>
          <w:b/>
          <w:bCs/>
          <w:color w:val="9C27B0"/>
          <w:sz w:val="28"/>
          <w:szCs w:val="28"/>
        </w:rPr>
        <w:t xml:space="preserve">7.1 KPI Scorecard</w:t>
      </w:r>
    </w:p>
    <w:p>
      <w:pPr>
        <w:spacing w:before="80" w:after="100"/>
      </w:pPr>
      <w:r>
        <w:rPr>
          <w:rFonts w:ascii="Arial" w:cs="Arial" w:eastAsia="Arial" w:hAnsi="Arial"/>
          <w:color w:val="1A1A2E"/>
          <w:sz w:val="22"/>
          <w:szCs w:val="22"/>
        </w:rPr>
        <w:t xml:space="preserve">The /kpis page is the executive and engineering management interface for the platform. It provides a real-time view of platform health against the defined success metrics. All metrics are computed from data sourced from Part 1's S3 eval archive and Part 2's investigation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00"/>
        <w:gridCol w:w="2460"/>
      </w:tblGrid>
      <w:tr>
        <w:trPr>
          <w:tblHeader/>
        </w:trPr>
        <w:tc>
          <w:tcPr>
            <w:tcW w:type="dxa" w:w="24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KPI</w:t>
            </w:r>
          </w:p>
        </w:tc>
        <w:tc>
          <w:tcPr>
            <w:tcW w:type="dxa" w:w="20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25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Measurement Method</w:t>
            </w:r>
          </w:p>
        </w:tc>
        <w:tc>
          <w:tcPr>
            <w:tcW w:type="dxa" w:w="246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Data Source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Mean Time to Root Cause (MTTRC)</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70% reduction vs. baseline</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Median time: alert fired → investigation completed</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Part 2 API logs + Part 1 timestamps</w:t>
            </w:r>
          </w:p>
        </w:tc>
      </w:tr>
      <w:tr>
        <w:tc>
          <w:tcPr>
            <w:tcW w:type="dxa" w:w="24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Investigation Accuracy Rate</w:t>
            </w:r>
          </w:p>
        </w:tc>
        <w:tc>
          <w:tcPr>
            <w:tcW w:type="dxa" w:w="20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 85% (Phase 1), ≥ 92% (Phase 3)</w:t>
            </w:r>
          </w:p>
        </w:tc>
        <w:tc>
          <w:tcPr>
            <w:tcW w:type="dxa" w:w="25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Engineer feedback rating via /feedback endpoint</w:t>
            </w:r>
          </w:p>
        </w:tc>
        <w:tc>
          <w:tcPr>
            <w:tcW w:type="dxa" w:w="24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Part 2 feedback API + Part 1 eval harness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Autonomous Coverage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80% of P1/P2 alerts investigated without human initiation</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investigations triggered via webhook vs. manual API call</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Part 2 webhook logs</w:t>
            </w:r>
          </w:p>
        </w:tc>
      </w:tr>
      <w:tr>
        <w:tc>
          <w:tcPr>
            <w:tcW w:type="dxa" w:w="24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Alert-to-Investigation Latency</w:t>
            </w:r>
          </w:p>
        </w:tc>
        <w:tc>
          <w:tcPr>
            <w:tcW w:type="dxa" w:w="20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First report within 4 min for ≥ 75% of incidents</w:t>
            </w:r>
          </w:p>
        </w:tc>
        <w:tc>
          <w:tcPr>
            <w:tcW w:type="dxa" w:w="25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Time from webhook received to investigation:completed event</w:t>
            </w:r>
          </w:p>
        </w:tc>
        <w:tc>
          <w:tcPr>
            <w:tcW w:type="dxa" w:w="24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Part 2 WebSocket event log</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On-Call Toil Reduction</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50% reduction in mean time per incident</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Engineer self-reported NPS + time-on-incident tracking</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Feedback API + optional Slack time tracking</w:t>
            </w:r>
          </w:p>
        </w:tc>
      </w:tr>
      <w:tr>
        <w:tc>
          <w:tcPr>
            <w:tcW w:type="dxa" w:w="24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Auto-Remediation Success Rate</w:t>
            </w:r>
          </w:p>
        </w:tc>
        <w:tc>
          <w:tcPr>
            <w:tcW w:type="dxa" w:w="20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 90% of executed catalog actions succeed</w:t>
            </w:r>
          </w:p>
        </w:tc>
        <w:tc>
          <w:tcPr>
            <w:tcW w:type="dxa" w:w="25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 remediation executions with success status in audit log</w:t>
            </w:r>
          </w:p>
        </w:tc>
        <w:tc>
          <w:tcPr>
            <w:tcW w:type="dxa" w:w="24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Part 2 remediation audit trail in S3</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False Positive Escalation Rate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5% incorrect escalations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investigations rated as wrong root cause by engineers</w:t>
            </w:r>
          </w:p>
        </w:tc>
        <w:tc>
          <w:tcPr>
            <w:tcW w:type="dxa" w:w="2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Part 2 feedback API</w:t>
            </w:r>
          </w:p>
        </w:tc>
      </w:tr>
      <w:tr>
        <w:tc>
          <w:tcPr>
            <w:tcW w:type="dxa" w:w="24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Engineer NPS for Platform</w:t>
            </w:r>
          </w:p>
        </w:tc>
        <w:tc>
          <w:tcPr>
            <w:tcW w:type="dxa" w:w="20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 40 within 3 months of Phase 2 launch</w:t>
            </w:r>
          </w:p>
        </w:tc>
        <w:tc>
          <w:tcPr>
            <w:tcW w:type="dxa" w:w="25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Monthly in-app NPS survey via Settings page</w:t>
            </w:r>
          </w:p>
        </w:tc>
        <w:tc>
          <w:tcPr>
            <w:tcW w:type="dxa" w:w="24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Part 2 NPS collection endpoint</w:t>
            </w:r>
          </w:p>
        </w:tc>
      </w:tr>
    </w:tbl>
    <w:p>
      <w:pPr>
        <w:spacing w:before="0" w:after="0"/>
      </w:pPr>
      <w:r>
        <w:rPr>
          <w:sz w:val="14"/>
          <w:szCs w:val="14"/>
        </w:rPr>
        <w:t xml:space="preserve"/>
      </w:r>
    </w:p>
    <w:p>
      <w:pPr>
        <w:pStyle w:val="Heading2"/>
        <w:spacing w:before="280" w:after="100"/>
      </w:pPr>
      <w:r>
        <w:rPr>
          <w:rFonts w:ascii="Arial" w:cs="Arial" w:eastAsia="Arial" w:hAnsi="Arial"/>
          <w:b/>
          <w:bCs/>
          <w:color w:val="9C27B0"/>
          <w:sz w:val="28"/>
          <w:szCs w:val="28"/>
        </w:rPr>
        <w:t xml:space="preserve">7.2 Engineer Feedback Loop</w:t>
      </w:r>
    </w:p>
    <w:p>
      <w:pPr>
        <w:spacing w:before="80" w:after="100"/>
      </w:pPr>
      <w:r>
        <w:rPr>
          <w:rFonts w:ascii="Arial" w:cs="Arial" w:eastAsia="Arial" w:hAnsi="Arial"/>
          <w:color w:val="1A1A2E"/>
          <w:sz w:val="22"/>
          <w:szCs w:val="22"/>
        </w:rPr>
        <w:t xml:space="preserve">Every completed investigation displayed in the dashboard includes a feedback widget. Engineers rate the RCA accuracy (correct / partially correct / incorrect) and can submit a correction. Corrections are written to Part 1's eval dataset via the /feedback API endpoint, creating a continuous improvement loop:</w:t>
      </w:r>
    </w:p>
    <w:p>
      <w:pPr>
        <w:pStyle w:val="ListParagraph"/>
        <w:numPr>
          <w:ilvl w:val="0"/>
          <w:numId w:val="2"/>
        </w:numPr>
        <w:spacing w:before="60" w:after="60"/>
      </w:pPr>
      <w:r>
        <w:rPr>
          <w:rFonts w:ascii="Arial" w:cs="Arial" w:eastAsia="Arial" w:hAnsi="Arial"/>
          <w:b w:val="false"/>
          <w:bCs w:val="false"/>
          <w:color w:val="1A1A2E"/>
          <w:sz w:val="22"/>
          <w:szCs w:val="22"/>
        </w:rPr>
        <w:t xml:space="preserve">Correct rating: investigation archived to eval dataset as a positive example; confidence calibration model updated</w:t>
      </w:r>
    </w:p>
    <w:p>
      <w:pPr>
        <w:pStyle w:val="ListParagraph"/>
        <w:numPr>
          <w:ilvl w:val="0"/>
          <w:numId w:val="2"/>
        </w:numPr>
        <w:spacing w:before="60" w:after="60"/>
      </w:pPr>
      <w:r>
        <w:rPr>
          <w:rFonts w:ascii="Arial" w:cs="Arial" w:eastAsia="Arial" w:hAnsi="Arial"/>
          <w:b w:val="false"/>
          <w:bCs w:val="false"/>
          <w:color w:val="1A1A2E"/>
          <w:sz w:val="22"/>
          <w:szCs w:val="22"/>
        </w:rPr>
        <w:t xml:space="preserve">Partially correct rating: investigation flagged for SRE SME review; used as a hard negative in the next eval run</w:t>
      </w:r>
    </w:p>
    <w:p>
      <w:pPr>
        <w:pStyle w:val="ListParagraph"/>
        <w:numPr>
          <w:ilvl w:val="0"/>
          <w:numId w:val="2"/>
        </w:numPr>
        <w:spacing w:before="60" w:after="60"/>
      </w:pPr>
      <w:r>
        <w:rPr>
          <w:rFonts w:ascii="Arial" w:cs="Arial" w:eastAsia="Arial" w:hAnsi="Arial"/>
          <w:b w:val="false"/>
          <w:bCs w:val="false"/>
          <w:color w:val="1A1A2E"/>
          <w:sz w:val="22"/>
          <w:szCs w:val="22"/>
        </w:rPr>
        <w:t xml:space="preserve">Incorrect rating: immediate alert to Platform Tech Lead via Slack; investigation root cause analyzed in next retrospective; Part 1 eval regression test added</w:t>
      </w:r>
    </w:p>
    <w:p>
      <w:pPr>
        <w:spacing w:before="0" w:after="0"/>
      </w:pPr>
      <w:r>
        <w:rPr>
          <w:sz w:val="28"/>
          <w:szCs w:val="28"/>
        </w:rPr>
        <w:t xml:space="preserve"/>
      </w:r>
    </w:p>
    <w:p>
      <w:r>
        <w:br w:type="page"/>
      </w:r>
    </w:p>
    <w:p>
      <w:pPr>
        <w:pStyle w:val="Heading1"/>
        <w:pBdr>
          <w:bottom w:val="single" w:color="9C27B0" w:sz="8" w:space="6"/>
        </w:pBdr>
        <w:spacing w:before="360" w:after="120"/>
      </w:pPr>
      <w:r>
        <w:rPr>
          <w:rFonts w:ascii="Arial" w:cs="Arial" w:eastAsia="Arial" w:hAnsi="Arial"/>
          <w:b/>
          <w:bCs/>
          <w:color w:val="7B2D8B"/>
          <w:sz w:val="36"/>
          <w:szCs w:val="36"/>
        </w:rPr>
        <w:t xml:space="preserve">8. Team, Timeline &amp; Execution Roadmap</w:t>
      </w:r>
    </w:p>
    <w:p>
      <w:pPr>
        <w:pStyle w:val="Heading2"/>
        <w:spacing w:before="280" w:after="100"/>
      </w:pPr>
      <w:r>
        <w:rPr>
          <w:rFonts w:ascii="Arial" w:cs="Arial" w:eastAsia="Arial" w:hAnsi="Arial"/>
          <w:b/>
          <w:bCs/>
          <w:color w:val="9C27B0"/>
          <w:sz w:val="28"/>
          <w:szCs w:val="28"/>
        </w:rPr>
        <w:t xml:space="preserve">8.1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8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FTE</w:t>
            </w:r>
          </w:p>
        </w:tc>
        <w:tc>
          <w:tcPr>
            <w:tcW w:type="dxa" w:w="576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Primary Responsibilities for Part 2</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 Tech Lead</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0.5 (shared)</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Interface contract ownership, architecture review, API design sign-off, cross-team coordination</w:t>
            </w:r>
          </w:p>
        </w:tc>
      </w:tr>
      <w:tr>
        <w:tc>
          <w:tcPr>
            <w:tcW w:type="dxa" w:w="2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Backend Engineer — API</w:t>
            </w:r>
          </w:p>
        </w:tc>
        <w:tc>
          <w:tcPr>
            <w:tcW w:type="dxa" w:w="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57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FastAPI REST API, webhook handlers, alert normalization, deduplication logic, remediation execution service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 Engineer</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0.5</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dashboard, Neovis.js graph visualization, WebSocket integration, KPI scorecard, feedback widget</w:t>
            </w:r>
          </w:p>
        </w:tc>
      </w:tr>
      <w:tr>
        <w:tc>
          <w:tcPr>
            <w:tcW w:type="dxa" w:w="2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DevOps / Platform Engineer</w:t>
            </w:r>
          </w:p>
        </w:tc>
        <w:tc>
          <w:tcPr>
            <w:tcW w:type="dxa" w:w="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0.5 (shared)</w:t>
            </w:r>
          </w:p>
        </w:tc>
        <w:tc>
          <w:tcPr>
            <w:tcW w:type="dxa" w:w="57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Render deployment, Terraform modules, Helm charts, GitHub Actions CI/CD, security scanning, monitoring</w:t>
            </w:r>
          </w:p>
        </w:tc>
      </w:tr>
    </w:tbl>
    <w:p>
      <w:pPr>
        <w:spacing w:before="0" w:after="0"/>
      </w:pPr>
      <w:r>
        <w:rPr>
          <w:sz w:val="14"/>
          <w:szCs w:val="14"/>
        </w:rPr>
        <w:t xml:space="preserve"/>
      </w:r>
    </w:p>
    <w:p>
      <w:pPr>
        <w:spacing w:before="80" w:after="100"/>
      </w:pPr>
      <w:r>
        <w:rPr>
          <w:rFonts w:ascii="Arial" w:cs="Arial" w:eastAsia="Arial" w:hAnsi="Arial"/>
          <w:color w:val="1A1A2E"/>
          <w:sz w:val="22"/>
          <w:szCs w:val="22"/>
        </w:rPr>
        <w:t xml:space="preserve">Note: the Platform Tech Lead and DevOps Engineer are shared resources between Part 1 and Part 2. Their Part 2 time is primarily in Phases 1 and 3 (architecture setup and full-platform integration). Part 2 can operate with high autonomy during Phase 2 once the interface contract is frozen.</w:t>
      </w:r>
    </w:p>
    <w:p>
      <w:pPr>
        <w:pStyle w:val="Heading2"/>
        <w:spacing w:before="280" w:after="100"/>
      </w:pPr>
      <w:r>
        <w:rPr>
          <w:rFonts w:ascii="Arial" w:cs="Arial" w:eastAsia="Arial" w:hAnsi="Arial"/>
          <w:b/>
          <w:bCs/>
          <w:color w:val="9C27B0"/>
          <w:sz w:val="28"/>
          <w:szCs w:val="28"/>
        </w:rPr>
        <w:t xml:space="preserve">8.2 Phased Execution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6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c>
          <w:tcPr>
            <w:tcW w:type="dxa" w:w="616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Part 2 Milestones</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 Foundation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Weeks 1–8</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Terraform modules for EKS, VPC, MSK, S3, IAM provisioned and applied. Render services configured (API + dashboard). FastAPI app skeleton live on Render with /health endpoint. Webhook handler live for PagerDuty and CloudWatch test events. Dashboard skeleton live with mock investigation cards (using Part 1 mock JSON). Slack integration configured and tested. Interface JSON schema v1 received from Part 1 and implemented in API models. CI/CD pipelines for API and dashboard operational.</w:t>
            </w:r>
          </w:p>
        </w:tc>
      </w:tr>
      <w:tr>
        <w:tc>
          <w:tcPr>
            <w:tcW w:type="dxa" w:w="16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Phase 2: Full Integration</w:t>
            </w:r>
          </w:p>
        </w:tc>
        <w:tc>
          <w:tcPr>
            <w:tcW w:type="dxa" w:w="16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Weeks 9–16</w:t>
            </w:r>
          </w:p>
        </w:tc>
        <w:tc>
          <w:tcPr>
            <w:tcW w:type="dxa" w:w="61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API consuming live Part 1 investigation results (no longer mock). WebSocket real-time updates live in dashboard. Neovis.js graph topology explorer live with Neo4j subgraph snapshots. Remediation catalog populated with 8 initial actions; MFA-gated execution live. PagerDuty enrichment write-back live. KPI dashboard live with real metrics. Engineer feedback loop active. Render auto-scaling tested under simulated load.</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 Production Hardening</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Weeks 17–24</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platform load testing (500 concurrent investigations). Auto-remediation success rate ≥ 90% confirmed in staging. NPS survey integrated in dashboard. Daily incident digest email live. Eval feedback loop driving measurable accuracy improvement in Part 1. Full DR runbook tested: API failover, Render region failover, investigation queue backpressure handling.</w:t>
            </w:r>
          </w:p>
        </w:tc>
      </w:tr>
    </w:tbl>
    <w:p>
      <w:pPr>
        <w:spacing w:before="0" w:after="0"/>
      </w:pPr>
      <w:r>
        <w:rPr>
          <w:sz w:val="28"/>
          <w:szCs w:val="28"/>
        </w:rPr>
        <w:t xml:space="preserve"/>
      </w:r>
    </w:p>
    <w:p>
      <w:r>
        <w:br w:type="page"/>
      </w:r>
    </w:p>
    <w:p>
      <w:pPr>
        <w:pStyle w:val="Heading1"/>
        <w:pBdr>
          <w:bottom w:val="single" w:color="9C27B0" w:sz="8" w:space="6"/>
        </w:pBdr>
        <w:spacing w:before="360" w:after="120"/>
      </w:pPr>
      <w:r>
        <w:rPr>
          <w:rFonts w:ascii="Arial" w:cs="Arial" w:eastAsia="Arial" w:hAnsi="Arial"/>
          <w:b/>
          <w:bCs/>
          <w:color w:val="7B2D8B"/>
          <w:sz w:val="36"/>
          <w:szCs w:val="36"/>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rPr>
          <w:tblHeader/>
        </w:trPr>
        <w:tc>
          <w:tcPr>
            <w:tcW w:type="dxa" w:w="22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12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2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Probability</w:t>
            </w:r>
          </w:p>
        </w:tc>
        <w:tc>
          <w:tcPr>
            <w:tcW w:type="dxa" w:w="476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Interface Schema Drift</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Schema versioning enforced in the API (Accept: application/vnd.sre-platform.v1+json). Breaking changes require joint review meeting. OpenAPI spec auto-generated and published to shared repo on every Part 1 agent deploy.</w:t>
            </w:r>
          </w:p>
        </w:tc>
      </w:tr>
      <w:tr>
        <w:tc>
          <w:tcPr>
            <w:tcW w:type="dxa" w:w="2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Dashboard Performance Under Load</w:t>
            </w:r>
          </w:p>
        </w:tc>
        <w:tc>
          <w:tcPr>
            <w:tcW w:type="dxa" w:w="1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7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Neovis.js graph rendering capped at 200 nodes per visualization. Server-side pagination on investigation list (20 per page). WebSocket connection pool limited to 50 concurrent dashboard clients per API instance; auto-scale triggers at 30 clients.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Render Outage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Render SLA is 99.95%. Fallback: Slack notifications continue via investigation-consumer background worker even if dashboard is unavailable. Investigation results stored in S3 as durable record.</w:t>
            </w:r>
          </w:p>
        </w:tc>
      </w:tr>
      <w:tr>
        <w:tc>
          <w:tcPr>
            <w:tcW w:type="dxa" w:w="2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Remediation Execution Errors</w:t>
            </w:r>
          </w:p>
        </w:tc>
        <w:tc>
          <w:tcPr>
            <w:tcW w:type="dxa" w:w="1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47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Dry-run mandatory in staging before catalog promotion. Pre-execution blast radius check. 15-minute rollback window. Immutable audit trail. Platform Tech Lead paged on any execution failure.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WebSocket Message Flooding</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Rate limit: maximum 10 WebSocket messages per investigation per 60-second window. Alert storms that generate &gt;20 correlated investigations are collapsed into a single 'storm event' broadcast.</w:t>
            </w:r>
          </w:p>
        </w:tc>
      </w:tr>
      <w:tr>
        <w:tc>
          <w:tcPr>
            <w:tcW w:type="dxa" w:w="2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Engineer Non-Adoption of Dashboard</w:t>
            </w:r>
          </w:p>
        </w:tc>
        <w:tc>
          <w:tcPr>
            <w:tcW w:type="dxa" w:w="1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7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NPS tracked monthly. Slack notifications designed to be actionable without requiring dashboard visits. Quarterly adoption review with engineering leads; feature prioritization driven by usage analytics.</w:t>
            </w:r>
          </w:p>
        </w:tc>
      </w:tr>
    </w:tbl>
    <w:p>
      <w:pPr>
        <w:spacing w:before="0" w:after="0"/>
      </w:pPr>
      <w:r>
        <w:rPr>
          <w:sz w:val="28"/>
          <w:szCs w:val="28"/>
        </w:rPr>
        <w:t xml:space="preserve"/>
      </w:r>
    </w:p>
    <w:p>
      <w:r>
        <w:br w:type="page"/>
      </w:r>
    </w:p>
    <w:p>
      <w:pPr>
        <w:pStyle w:val="Heading1"/>
        <w:pBdr>
          <w:bottom w:val="single" w:color="9C27B0" w:sz="8" w:space="6"/>
        </w:pBdr>
        <w:spacing w:before="360" w:after="120"/>
      </w:pPr>
      <w:r>
        <w:rPr>
          <w:rFonts w:ascii="Arial" w:cs="Arial" w:eastAsia="Arial" w:hAnsi="Arial"/>
          <w:b/>
          <w:bCs/>
          <w:color w:val="7B2D8B"/>
          <w:sz w:val="36"/>
          <w:szCs w:val="36"/>
        </w:rPr>
        <w:t xml:space="preserve">10. Operating Costs — Part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Service</w:t>
            </w:r>
          </w:p>
        </w:tc>
        <w:tc>
          <w:tcPr>
            <w:tcW w:type="dxa" w:w="380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760"/>
            <w:tcBorders>
              <w:top w:val="single" w:color="BFBFBF" w:sz="1"/>
              <w:left w:val="single" w:color="BFBFBF" w:sz="1"/>
              <w:bottom w:val="single" w:color="BFBFBF" w:sz="1"/>
              <w:right w:val="single" w:color="BFBFBF" w:sz="1"/>
            </w:tcBorders>
            <w:shd w:fill="7B2D8B" w:val="clear"/>
            <w:tcMar>
              <w:top w:type="dxa" w:w="100"/>
              <w:left w:type="dxa" w:w="120"/>
              <w:bottom w:type="dxa" w:w="100"/>
              <w:right w:type="dxa" w:w="120"/>
            </w:tcMar>
          </w:tcPr>
          <w:p>
            <w:r>
              <w:rPr>
                <w:rFonts w:ascii="Arial" w:cs="Arial" w:eastAsia="Arial" w:hAnsi="Arial"/>
                <w:b/>
                <w:bCs/>
                <w:color w:val="FFFFFF"/>
                <w:sz w:val="20"/>
                <w:szCs w:val="20"/>
              </w:rPr>
              <w:t xml:space="preserve">Est. Monthly Cost (USD)</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Render Web Services</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sre-api (1–5 instances) + sre-dashboard (1–3 instances)</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$150 – $280</w:t>
            </w:r>
          </w:p>
        </w:tc>
      </w:tr>
      <w:tr>
        <w:tc>
          <w:tcPr>
            <w:tcW w:type="dxa" w:w="2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Render Background Workers</w:t>
            </w:r>
          </w:p>
        </w:tc>
        <w:tc>
          <w:tcPr>
            <w:tcW w:type="dxa" w:w="3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investigation-consumer + remediation-executor</w:t>
            </w:r>
          </w:p>
        </w:tc>
        <w:tc>
          <w:tcPr>
            <w:tcW w:type="dxa" w:w="27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$80 – $120</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Render Cron Jobs</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eval-metrics-sync + incident-digest</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 – $40</w:t>
            </w:r>
          </w:p>
        </w:tc>
      </w:tr>
      <w:tr>
        <w:tc>
          <w:tcPr>
            <w:tcW w:type="dxa" w:w="2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AWS S3 (Part 2 specific)</w:t>
            </w:r>
          </w:p>
        </w:tc>
        <w:tc>
          <w:tcPr>
            <w:tcW w:type="dxa" w:w="3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Audit trail + remediation execution logs + email digests</w:t>
            </w:r>
          </w:p>
        </w:tc>
        <w:tc>
          <w:tcPr>
            <w:tcW w:type="dxa" w:w="27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$20 – $40</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AWS CloudWatch</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Part 2 custom metrics namespace + dashboard alarms</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 – $60</w:t>
            </w:r>
          </w:p>
        </w:tc>
      </w:tr>
      <w:tr>
        <w:tc>
          <w:tcPr>
            <w:tcW w:type="dxa" w:w="2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Auth0 (JWT issuance)</w:t>
            </w:r>
          </w:p>
        </w:tc>
        <w:tc>
          <w:tcPr>
            <w:tcW w:type="dxa" w:w="3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Developer plan → Pro as user count grows</w:t>
            </w:r>
          </w:p>
        </w:tc>
        <w:tc>
          <w:tcPr>
            <w:tcW w:type="dxa" w:w="27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$0 – $240</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Slack API</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Webhook notifications to incident channels</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(free tier sufficient)</w:t>
            </w:r>
          </w:p>
        </w:tc>
      </w:tr>
      <w:tr>
        <w:tc>
          <w:tcPr>
            <w:tcW w:type="dxa" w:w="2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380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TOTAL PART 2 MONTHLY OPEX</w:t>
            </w:r>
          </w:p>
        </w:tc>
        <w:tc>
          <w:tcPr>
            <w:tcW w:type="dxa" w:w="2760"/>
            <w:tcBorders>
              <w:top w:val="single" w:color="BFBFBF" w:sz="1"/>
              <w:left w:val="single" w:color="BFBFBF" w:sz="1"/>
              <w:bottom w:val="single" w:color="BFBFBF" w:sz="1"/>
              <w:right w:val="single" w:color="BFBFBF" w:sz="1"/>
            </w:tcBorders>
            <w:shd w:fill="FAF2FC" w:val="clear"/>
            <w:tcMar>
              <w:top w:type="dxa" w:w="80"/>
              <w:left w:type="dxa" w:w="120"/>
              <w:bottom w:type="dxa" w:w="80"/>
              <w:right w:type="dxa" w:w="120"/>
            </w:tcMar>
          </w:tcPr>
          <w:p>
            <w:r>
              <w:rPr>
                <w:rFonts w:ascii="Arial" w:cs="Arial" w:eastAsia="Arial" w:hAnsi="Arial"/>
                <w:color w:val="1A1A2E"/>
                <w:sz w:val="20"/>
                <w:szCs w:val="20"/>
              </w:rPr>
              <w:t xml:space="preserve">$300 – $780</w:t>
            </w:r>
          </w:p>
        </w:tc>
      </w:tr>
    </w:tbl>
    <w:p>
      <w:pPr>
        <w:spacing w:before="0" w:after="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3E5F5" w:val="clear"/>
            <w:tcMar>
              <w:top w:type="dxa" w:w="160"/>
              <w:left w:type="dxa" w:w="200"/>
              <w:bottom w:type="dxa" w:w="160"/>
              <w:right w:type="dxa" w:w="200"/>
            </w:tcMar>
          </w:tcPr>
          <w:p>
            <w:pPr>
              <w:spacing w:before="0" w:after="80"/>
            </w:pPr>
            <w:r>
              <w:rPr>
                <w:rFonts w:ascii="Arial" w:cs="Arial" w:eastAsia="Arial" w:hAnsi="Arial"/>
                <w:b/>
                <w:bCs/>
                <w:color w:val="7B2D8B"/>
                <w:sz w:val="22"/>
                <w:szCs w:val="22"/>
              </w:rPr>
              <w:t xml:space="preserve">COST CONTRAST WITH PART 1</w:t>
            </w:r>
          </w:p>
          <w:p>
            <w:pPr>
              <w:spacing w:before="0" w:after="0"/>
            </w:pPr>
            <w:r>
              <w:rPr>
                <w:rFonts w:ascii="Arial" w:cs="Arial" w:eastAsia="Arial" w:hAnsi="Arial"/>
                <w:color w:val="1A1A2E"/>
                <w:sz w:val="21"/>
                <w:szCs w:val="21"/>
              </w:rPr>
              <w:t xml:space="preserve">Part 2's operating cost ($300–$780/month) is approximately 10–15% of Part 1's cost ($5,330–$8,150/month). The intelligence (Part 1) is expensive; the interface (Part 2) is cheap. This asymmetry is intentional — Render's managed platform eliminates infrastructure overhead so the Part 2 team can focus entirely on engineer experience.</w:t>
            </w:r>
          </w:p>
        </w:tc>
      </w:tr>
    </w:tbl>
    <w:p>
      <w:pPr>
        <w:spacing w:before="0" w:after="0"/>
      </w:pPr>
      <w:r>
        <w:rPr>
          <w:sz w:val="28"/>
          <w:szCs w:val="28"/>
        </w:rPr>
        <w:t xml:space="preserve"/>
      </w:r>
    </w:p>
    <w:p>
      <w:pPr>
        <w:pStyle w:val="Heading1"/>
        <w:pBdr>
          <w:bottom w:val="single" w:color="9C27B0" w:sz="8" w:space="6"/>
        </w:pBdr>
        <w:spacing w:before="360" w:after="120"/>
      </w:pPr>
      <w:r>
        <w:rPr>
          <w:rFonts w:ascii="Arial" w:cs="Arial" w:eastAsia="Arial" w:hAnsi="Arial"/>
          <w:b/>
          <w:bCs/>
          <w:color w:val="7B2D8B"/>
          <w:sz w:val="36"/>
          <w:szCs w:val="36"/>
        </w:rPr>
        <w:t xml:space="preserve">11. Next Steps</w:t>
      </w:r>
    </w:p>
    <w:p>
      <w:pPr>
        <w:spacing w:before="80" w:after="100"/>
      </w:pPr>
      <w:r>
        <w:rPr>
          <w:rFonts w:ascii="Arial" w:cs="Arial" w:eastAsia="Arial" w:hAnsi="Arial"/>
          <w:color w:val="1A1A2E"/>
          <w:sz w:val="22"/>
          <w:szCs w:val="22"/>
        </w:rPr>
        <w:t xml:space="preserve">To initiate Part 2 development, the following actions are required in Week 1:</w:t>
      </w:r>
    </w:p>
    <w:p>
      <w:pPr>
        <w:pStyle w:val="ListParagraph"/>
        <w:numPr>
          <w:ilvl w:val="0"/>
          <w:numId w:val="2"/>
        </w:numPr>
        <w:spacing w:before="60" w:after="60"/>
      </w:pPr>
      <w:r>
        <w:rPr>
          <w:rFonts w:ascii="Arial" w:cs="Arial" w:eastAsia="Arial" w:hAnsi="Arial"/>
          <w:b/>
          <w:bCs/>
          <w:color w:val="1A1A2E"/>
          <w:sz w:val="22"/>
          <w:szCs w:val="22"/>
        </w:rPr>
        <w:t xml:space="preserve">Receive and validate Investigation JSON Schema v1 from Part 1 team — this is the critical-path dependency for all subsequent Part 2 work</w:t>
      </w:r>
    </w:p>
    <w:p>
      <w:pPr>
        <w:pStyle w:val="ListParagraph"/>
        <w:numPr>
          <w:ilvl w:val="0"/>
          <w:numId w:val="2"/>
        </w:numPr>
        <w:spacing w:before="60" w:after="60"/>
      </w:pPr>
      <w:r>
        <w:rPr>
          <w:rFonts w:ascii="Arial" w:cs="Arial" w:eastAsia="Arial" w:hAnsi="Arial"/>
          <w:b/>
          <w:bCs/>
          <w:color w:val="1A1A2E"/>
          <w:sz w:val="22"/>
          <w:szCs w:val="22"/>
        </w:rPr>
        <w:t xml:space="preserve">Assign Backend Engineer to stand up FastAPI skeleton on Render with /health endpoint and webhook handler stub</w:t>
      </w:r>
    </w:p>
    <w:p>
      <w:pPr>
        <w:pStyle w:val="ListParagraph"/>
        <w:numPr>
          <w:ilvl w:val="0"/>
          <w:numId w:val="2"/>
        </w:numPr>
        <w:spacing w:before="60" w:after="60"/>
      </w:pPr>
      <w:r>
        <w:rPr>
          <w:rFonts w:ascii="Arial" w:cs="Arial" w:eastAsia="Arial" w:hAnsi="Arial"/>
          <w:b/>
          <w:bCs/>
          <w:color w:val="1A1A2E"/>
          <w:sz w:val="22"/>
          <w:szCs w:val="22"/>
        </w:rPr>
        <w:t xml:space="preserve">Provision Render services and environment variables (all pointing to mock/staging endpoints initially)</w:t>
      </w:r>
    </w:p>
    <w:p>
      <w:pPr>
        <w:pStyle w:val="ListParagraph"/>
        <w:numPr>
          <w:ilvl w:val="0"/>
          <w:numId w:val="2"/>
        </w:numPr>
        <w:spacing w:before="60" w:after="60"/>
      </w:pPr>
      <w:r>
        <w:rPr>
          <w:rFonts w:ascii="Arial" w:cs="Arial" w:eastAsia="Arial" w:hAnsi="Arial"/>
          <w:b/>
          <w:bCs/>
          <w:color w:val="1A1A2E"/>
          <w:sz w:val="22"/>
          <w:szCs w:val="22"/>
        </w:rPr>
        <w:t xml:space="preserve">Frontend Engineer to bootstrap Next.js dashboard with mock investigation cards using the agreed JSON schema</w:t>
      </w:r>
    </w:p>
    <w:p>
      <w:pPr>
        <w:pStyle w:val="ListParagraph"/>
        <w:numPr>
          <w:ilvl w:val="0"/>
          <w:numId w:val="2"/>
        </w:numPr>
        <w:spacing w:before="60" w:after="60"/>
      </w:pPr>
      <w:r>
        <w:rPr>
          <w:rFonts w:ascii="Arial" w:cs="Arial" w:eastAsia="Arial" w:hAnsi="Arial"/>
          <w:b/>
          <w:bCs/>
          <w:color w:val="1A1A2E"/>
          <w:sz w:val="22"/>
          <w:szCs w:val="22"/>
        </w:rPr>
        <w:t xml:space="preserve">DevOps Engineer to apply core Terraform modules: VPC, EKS, S3, IAM (shared with Part 1 infrastructure)</w:t>
      </w:r>
    </w:p>
    <w:p>
      <w:pPr>
        <w:pStyle w:val="ListParagraph"/>
        <w:numPr>
          <w:ilvl w:val="0"/>
          <w:numId w:val="2"/>
        </w:numPr>
        <w:spacing w:before="60" w:after="60"/>
      </w:pPr>
      <w:r>
        <w:rPr>
          <w:rFonts w:ascii="Arial" w:cs="Arial" w:eastAsia="Arial" w:hAnsi="Arial"/>
          <w:b/>
          <w:bCs/>
          <w:color w:val="1A1A2E"/>
          <w:sz w:val="22"/>
          <w:szCs w:val="22"/>
        </w:rPr>
        <w:t xml:space="preserve">Configure PagerDuty webhook source in staging environment; validate HMAC signature verification</w:t>
      </w:r>
    </w:p>
    <w:p>
      <w:pPr>
        <w:pStyle w:val="ListParagraph"/>
        <w:numPr>
          <w:ilvl w:val="0"/>
          <w:numId w:val="2"/>
        </w:numPr>
        <w:spacing w:before="60" w:after="60"/>
      </w:pPr>
      <w:r>
        <w:rPr>
          <w:rFonts w:ascii="Arial" w:cs="Arial" w:eastAsia="Arial" w:hAnsi="Arial"/>
          <w:b/>
          <w:bCs/>
          <w:color w:val="1A1A2E"/>
          <w:sz w:val="22"/>
          <w:szCs w:val="22"/>
        </w:rPr>
        <w:t xml:space="preserve">Set up Slack notification channel (#sre-platform-alerts) and test investigation-consumer background worker with mock payload</w:t>
      </w:r>
    </w:p>
    <w:p>
      <w:pPr>
        <w:spacing w:before="0" w:after="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3E5F5" w:val="clear"/>
            <w:tcMar>
              <w:top w:type="dxa" w:w="160"/>
              <w:left w:type="dxa" w:w="200"/>
              <w:bottom w:type="dxa" w:w="160"/>
              <w:right w:type="dxa" w:w="200"/>
            </w:tcMar>
          </w:tcPr>
          <w:p>
            <w:pPr>
              <w:spacing w:before="0" w:after="80"/>
            </w:pPr>
            <w:r>
              <w:rPr>
                <w:rFonts w:ascii="Arial" w:cs="Arial" w:eastAsia="Arial" w:hAnsi="Arial"/>
                <w:b/>
                <w:bCs/>
                <w:color w:val="7B2D8B"/>
                <w:sz w:val="22"/>
                <w:szCs w:val="22"/>
              </w:rPr>
              <w:t xml:space="preserve">INDEPENDENCE PRINCIPLE</w:t>
            </w:r>
          </w:p>
          <w:p>
            <w:pPr>
              <w:spacing w:before="0" w:after="0"/>
            </w:pPr>
            <w:r>
              <w:rPr>
                <w:rFonts w:ascii="Arial" w:cs="Arial" w:eastAsia="Arial" w:hAnsi="Arial"/>
                <w:color w:val="1A1A2E"/>
                <w:sz w:val="21"/>
                <w:szCs w:val="21"/>
              </w:rPr>
              <w:t xml:space="preserve">Part 2 should never be blocked by Part 1. If Part 1 is delayed, Part 2 generates its own mock investigations from the agreed schema and builds the complete dashboard, API, and notification stack against those mocks. Integration is a single environment-variable swap — not a re-architecture.</w:t>
            </w:r>
          </w:p>
        </w:tc>
      </w:tr>
    </w:tbl>
    <w:p>
      <w:pPr>
        <w:spacing w:before="0" w:after="0"/>
      </w:pPr>
      <w:r>
        <w:rPr>
          <w:sz w:val="28"/>
          <w:szCs w:val="28"/>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27B0" w:sz="6" w:space="1"/>
      </w:pBdr>
      <w:tabs>
        <w:tab w:val="right" w:pos="9026"/>
      </w:tabs>
      <w:spacing w:before="160" w:after="0"/>
    </w:pPr>
    <w:r>
      <w:rPr>
        <w:rFonts w:ascii="Arial" w:cs="Arial" w:eastAsia="Arial" w:hAnsi="Arial"/>
        <w:color w:val="595959"/>
        <w:sz w:val="18"/>
        <w:szCs w:val="18"/>
      </w:rPr>
      <w:t xml:space="preserve">Confidential — Internal Use Only</w:t>
    </w:r>
    <w:r>
      <w:rPr>
        <w:rFonts w:ascii="Arial" w:cs="Arial" w:eastAsia="Arial" w:hAnsi="Arial"/>
        <w:color w:val="595959"/>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27B0" w:sz="6" w:space="1"/>
      </w:pBdr>
      <w:spacing w:before="0" w:after="160"/>
    </w:pPr>
    <w:r>
      <w:rPr>
        <w:rFonts w:ascii="Arial" w:cs="Arial" w:eastAsia="Arial" w:hAnsi="Arial"/>
        <w:color w:val="595959"/>
        <w:sz w:val="18"/>
        <w:szCs w:val="18"/>
      </w:rPr>
      <w:t xml:space="preserve">AUTONOMOUS SRE PLATFORM  |  PART 2: API, DASHBOARD &amp; DEPLOYMENT LAYER</w:t>
    </w:r>
    <w:r>
      <w:rPr>
        <w:rFonts w:ascii="Arial" w:cs="Arial" w:eastAsia="Arial" w:hAnsi="Arial"/>
        <w:color w:val="595959"/>
        <w:sz w:val="18"/>
        <w:szCs w:val="18"/>
      </w:rPr>
      <w:t xml:space="preserve">  |  Deep Research Report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7B2D8B"/>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9C27B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2026-02-27T19:46:26.503Z</dcterms:created>
  <dcterms:modified xsi:type="dcterms:W3CDTF">2026-02-27T19:46:26.503Z</dcterms:modified>
</cp:coreProperties>
</file>

<file path=docProps/custom.xml><?xml version="1.0" encoding="utf-8"?>
<Properties xmlns="http://schemas.openxmlformats.org/officeDocument/2006/custom-properties" xmlns:vt="http://schemas.openxmlformats.org/officeDocument/2006/docPropsVTypes"/>
</file>