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E293B"/>
          <w:sz w:val="40"/>
        </w:rPr>
        <w:t>📋 AI WhatsApp Chatbot Onboarding Kit</w:t>
        <w:br/>
        <w:t>Finance, Accounting &amp; Tax Advisory</w:t>
      </w:r>
    </w:p>
    <w:p>
      <w:pPr>
        <w:spacing w:after="280"/>
      </w:pPr>
      <w:r>
        <w:rPr>
          <w:i/>
          <w:color w:val="64748B"/>
          <w:sz w:val="22"/>
        </w:rPr>
        <w:t>Industry Vertical: finance | Leading NBFC | Two-Wheeler, Personal, Home, Gold, Farm &amp; SME Loans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</w:tcPr>
          <w:p>
            <w:r>
              <w:rPr>
                <w:color w:val="334155"/>
                <w:sz w:val="19"/>
              </w:rPr>
              <w:t>💡 INSTRUCTIONS FOR TENANT:</w:t>
              <w:br/>
              <w:t>1. Fill in the fields and tables below with your company's actual data.</w:t>
              <w:br/>
              <w:t>2. Do not modify the section header titles (e.g. [SECTION: BRAND &amp; PROFILE]) as our AI parser uses them to bifurcate your data.</w:t>
              <w:br/>
              <w:t>3. Once filled, save this document and upload it via the Admin Console. The AI engine will parse your menu, catalog, and FAQs into your live bot!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t>[SECTION: BRAND &amp; PROFILE]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Description &amp; Constraints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Your Company Input (Fill Here)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Company Legal Name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Official registered company or entity name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L&amp;T Finance Limited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Brand / Display Name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Public name displayed to WhatsApp users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L&amp;T Finance Limited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Tenant ID / Code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Short unique identifier (lowercase, e.g. dlf, skyline)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ltfinance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AI Bot Name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Friendly name of your AI assistant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LTF Virtual Assistant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Brand Tagline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1-2 sentence core value proposition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Leading NBFC | Two-Wheeler, Personal, Home, Gold, Farm &amp; SME Loans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Official Website URL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Company website link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https://www.ltfs.com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Customer Support Email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Official support or sales contact email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customercare@ltfs.com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Support Phone Number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Official contact telephone with country code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+91 7378333451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WhatsApp Bot Number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Dedicated phone number to connect to WhatsApp bot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+91 XXXXXXXXXX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Business Working Hours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Daily operational hours (e.g. 09:30 AM - 06:30 PM)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09:00 AM - 06:00 PM (Mon-Sat)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WHATSAPP MENU]</w:t>
      </w:r>
    </w:p>
    <w:p>
      <w:r>
        <w:rPr>
          <w:color w:val="B45309"/>
          <w:sz w:val="17"/>
        </w:rPr>
        <w:t>CRITICAL WHATSAPP INTERACTIVE BUTTON CONSTRAINTS:</w:t>
        <w:br/>
        <w:t>• Title: Max 24 characters (e.g., 'Explore Properties', 'Track Order')</w:t>
        <w:br/>
        <w:t>• Description: Max 72 characters (e.g., '2, 3 &amp; 4 BHK apartments in Prime Whitefield')</w:t>
        <w:br/>
        <w:t>• Section: Max 24 characters (e.g., 'Properties', 'Support')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Button Title (&lt;=24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Description (&lt;=72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Category Section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Action Mapping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Advisory Services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Income tax, corporate audit, GST compliance &amp; virtual CFO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📊 Services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offerings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Book Tax Consultation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Schedule 45-minute consultation with a Chartered Accountant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📅 Consultation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book_callback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Pricing &amp; Retainers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Monthly retainer plans for startups, SMEs &amp; enterprises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💼 Pricing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quote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Tax Deadlines &amp; Guides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Upcoming GST, advance tax, TDS &amp; MCA filing calendar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📅 Compliance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faq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Upload Client Documents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Secure document submission portal for audits &amp; tax filing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📁 Portal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raise_ticket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CATALOG &amp; OFFERINGS]</w:t>
      </w:r>
    </w:p>
    <w:p>
      <w:r>
        <w:rPr>
          <w:i/>
          <w:sz w:val="17"/>
        </w:rPr>
        <w:t>Image URL column: paste a public https link to the product/property photo (JPG/PNG/WebP). Leave blank if none. On publish, images are stored on the offering and shown in chat/catalog.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Service Name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Fee Structure / Pricing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Deliverables &amp; Scope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Turnaround Time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Target Client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Image URL</w:t>
            </w:r>
          </w:p>
        </w:tc>
      </w:tr>
      <w:tr>
        <w:tc>
          <w:tcPr>
            <w:tcW w:type="dxa" w:w="1440"/>
            <w:shd w:fill="FFFFFF"/>
          </w:tcPr>
          <w:p>
            <w:r>
              <w:rPr>
                <w:sz w:val="16"/>
              </w:rPr>
              <w:t>Two-Wheeler Loan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Retail Lending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Up to 100% on-road on select models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Bike/scooter/EV finance, tenure 12–48 months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Instant in-principle at dealership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Salaried / Self-employed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https://images.unsplash.com/photo-1558981806-ec527fa84c39?auto=format&amp;fit=crop&amp;w=800&amp;q=80</w:t>
            </w:r>
          </w:p>
        </w:tc>
      </w:tr>
      <w:tr>
        <w:tc>
          <w:tcPr>
            <w:tcW w:type="dxa" w:w="1440"/>
            <w:shd w:fill="F0FDFA"/>
          </w:tcPr>
          <w:p>
            <w:r>
              <w:rPr>
                <w:sz w:val="16"/>
              </w:rPr>
              <w:t>Personal Loan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Consumer Finance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₹50,000 – ₹15 Lakhs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100% digital via PLANET app, 12–60 months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Disbursal ~24 hrs after verification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Salaried / Self-employed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https://images.unsplash.com/photo-1450101499163-c8848c66ca85?auto=format&amp;fit=crop&amp;w=800&amp;q=80</w:t>
            </w:r>
          </w:p>
        </w:tc>
      </w:tr>
      <w:tr>
        <w:tc>
          <w:tcPr>
            <w:tcW w:type="dxa" w:w="1440"/>
            <w:shd w:fill="FFFFFF"/>
          </w:tcPr>
          <w:p>
            <w:r>
              <w:rPr>
                <w:sz w:val="16"/>
              </w:rPr>
              <w:t>Gold Loan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Secured Lending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Rates from ~11.75%* p.a.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18–22K jewellery, flexible repayment schemes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Same-day after valuation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Individuals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https://images.unsplash.com/photo-1610375461246-83df859d849d?auto=format&amp;fit=crop&amp;w=800&amp;q=80</w:t>
            </w:r>
          </w:p>
        </w:tc>
      </w:tr>
      <w:tr>
        <w:tc>
          <w:tcPr>
            <w:tcW w:type="dxa" w:w="1440"/>
            <w:shd w:fill="F0FDFA"/>
          </w:tcPr>
          <w:p>
            <w:r>
              <w:rPr>
                <w:sz w:val="16"/>
              </w:rPr>
              <w:t>Home Loan / LAP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Housing Finance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Long tenure up to 30 years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Home purchase, BT + top-up, LAP up to ₹5 Cr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As per underwriting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Salaried / Self-employed / Business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https://images.unsplash.com/photo-1560518883-ce09059eeffa?auto=format&amp;fit=crop&amp;w=800&amp;q=80</w:t>
            </w:r>
          </w:p>
        </w:tc>
      </w:tr>
      <w:tr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  <w:t>[Paste https image URL]</w:t>
            </w:r>
          </w:p>
        </w:tc>
      </w:tr>
      <w:tr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  <w:t>[Paste https image URL]</w:t>
            </w:r>
          </w:p>
        </w:tc>
      </w:tr>
    </w:tbl>
    <w:p>
      <w:pPr>
        <w:pStyle w:val="Heading2"/>
        <w:spacing w:before="160"/>
      </w:pPr>
      <w:r>
        <w:t>Catalog images (embedded preview)</w:t>
      </w:r>
    </w:p>
    <w:p>
      <w:r>
        <w:rPr>
          <w:b/>
          <w:sz w:val="16"/>
        </w:rPr>
        <w:t>Two-Wheeler Loan — https://images.unsplash.com/photo-1558981806-ec527fa84c39?auto=format&amp;fit=crop&amp;w=800&amp;q=80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218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f_twowheeler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218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6"/>
        </w:rPr>
        <w:t>Personal Loan — https://images.unsplash.com/photo-1450101499163-c8848c66ca85?auto=format&amp;fit=crop&amp;w=800&amp;q=80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2207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f_personal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220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6"/>
        </w:rPr>
        <w:t>Gold Loan — https://images.unsplash.com/photo-1610375461246-83df859d849d?auto=format&amp;fit=crop&amp;w=800&amp;q=80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21843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f_gold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218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6"/>
        </w:rPr>
        <w:t>Home Loan / LAP — https://images.unsplash.com/photo-1560518883-ce09059eeffa?auto=format&amp;fit=crop&amp;w=800&amp;q=80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37388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f_hom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373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</w:p>
    <w:p>
      <w:pPr>
        <w:pStyle w:val="Heading1"/>
        <w:spacing w:before="280" w:after="80"/>
      </w:pPr>
      <w:r>
        <w:t>[SECTION: FAQS &amp; POLICIES]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Frequently Asked Customer Question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Verified Official Answer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Topic / Category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How do I apply for a two-wheeler loan?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Apply at a partner dealership or via the PLANET app/website. Instant in-principle approval is available on eligible profiles.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Two-Wheeler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What is the personal loan amount range?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Typically ₹50,000 to ₹15 Lakhs (higher pre-approved offers may show in-app). Tenure usually 12–60 months.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Personal Loan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Do you finance electric two-wheelers?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Yes — EV scooters and bikes are covered under two-wheeler finance on select models and partner dealers.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Two-Wheeler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What documents are needed for a personal loan?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KYC (Aadhaar/PAN), income proofs (salary slips/ITR), and bank statements. Exact list depends on profile.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Documents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How fast is disbursal after approval?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Personal loans are often credited within about 24 hours after digital verification. Dealer loans follow dealership timelines.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Disbursal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What gold purity is accepted for gold loans?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Typically 18–22 karat household jewellery within RBI LTV norms. Valuation is done at the branch/partner location.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Gold Loan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Can I get a loan against property (LAP)?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Yes — LAP is available on eligible residential/commercial property for business or liquidity needs, subject to underwriting.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LAP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Are interest rates guaranteed in chat?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No. Published rates are indicative. Final rate depends on credit assessment and product scheme at sanction.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Rates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How do I raise a grievance?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Use Raise Complaint in the menu or call customer care. Escalations follow the published grievance redressal process.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Support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Will the bot ever ask for OTP or MPIN?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Never. Do not share OTP, MPIN, CVV, or passwords on chat. Report anyone asking for them immediately.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Security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Is balance transfer available on home loans?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Yes — housing finance supports balance transfer with optional top-up subject to eligibility.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Home Loan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What is the tenure for two-wheeler loans?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Usually 12–48 months; premium bikes may go up to 60 months depending on scheme.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Two-Wheeler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Can women borrowers get special concessions?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Select two-wheeler schemes offer concessions for female co-borrowers — ask for the current scheme sheet.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Offers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How do I check loan eligibility?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Use Check Eligibility / Apply Now and share basic income and city details. Final sanction is always after underwriting.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Eligibility</w:t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</w:tbl>
    <w:p>
      <w:r>
        <w:rPr>
          <w:i/>
          <w:sz w:val="17"/>
        </w:rPr>
        <w:t>Knowledge Base Articles — longer policy / how-to pages indexed for chatbot retrieval (keep the Title / Category / Article Content columns).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312E81"/>
          </w:tcPr>
          <w:p>
            <w:r>
              <w:rPr>
                <w:b/>
                <w:color w:val="FFFFFF"/>
                <w:sz w:val="18"/>
              </w:rPr>
              <w:t>Knowledge Article Title</w:t>
            </w:r>
          </w:p>
        </w:tc>
        <w:tc>
          <w:tcPr>
            <w:tcW w:type="dxa" w:w="3360"/>
            <w:shd w:fill="312E81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3360"/>
            <w:shd w:fill="312E81"/>
          </w:tcPr>
          <w:p>
            <w:r>
              <w:rPr>
                <w:b/>
                <w:color w:val="FFFFFF"/>
                <w:sz w:val="18"/>
              </w:rPr>
              <w:t>Article Content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6"/>
              </w:rPr>
              <w:t>ITR Filing Document Checklist &amp; Timeline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ITR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# ITR Prep</w:t>
              <w:br/>
              <w:br/>
              <w:t>Share Form 16, 26AS, AIS/TIS, interest certificates, capital-gains reports, and Chapter VI-A proofs. Salaried returns usually complete in 2–4 business days after docs are complete.</w:t>
              <w:br/>
              <w:br/>
              <w:t>NRI and capital-gains heavy returns need extra schedules — flag them early in the engagement.</w:t>
            </w:r>
          </w:p>
        </w:tc>
      </w:tr>
      <w:tr>
        <w:tc>
          <w:tcPr>
            <w:tcW w:type="dxa" w:w="3360"/>
            <w:shd w:fill="E0E7FF"/>
          </w:tcPr>
          <w:p>
            <w:r>
              <w:rPr>
                <w:b/>
                <w:sz w:val="16"/>
              </w:rPr>
              <w:t>GST Compliance, Notices &amp; Multi-State Ops</w:t>
            </w:r>
          </w:p>
        </w:tc>
        <w:tc>
          <w:tcPr>
            <w:tcW w:type="dxa" w:w="3360"/>
            <w:shd w:fill="E0E7FF"/>
          </w:tcPr>
          <w:p>
            <w:r>
              <w:rPr>
                <w:sz w:val="16"/>
              </w:rPr>
              <w:t>GST</w:t>
            </w:r>
          </w:p>
        </w:tc>
        <w:tc>
          <w:tcPr>
            <w:tcW w:type="dxa" w:w="3360"/>
            <w:shd w:fill="E0E7FF"/>
          </w:tcPr>
          <w:p>
            <w:r>
              <w:rPr>
                <w:sz w:val="16"/>
              </w:rPr>
              <w:t># GST Operations</w:t>
              <w:br/>
              <w:br/>
              <w:t>Monthly retainers cover GSTR-1/3B, ITC reconciliation, and notice responses. Multi-state registrations and filings are supported for pan-India businesses.</w:t>
              <w:br/>
              <w:br/>
              <w:t>Clients must share purchase/sales data on the agreed cutoff to avoid late fees.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6"/>
              </w:rPr>
              <w:t>Virtual CFO, Audit &amp; Data Security Practices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Advisory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# Advisory &amp; Security</w:t>
              <w:br/>
              <w:br/>
              <w:t>Virtual CFO retainers include MIS, cash-flow visibility, and board summaries as scoped. Statutory/internal audits are scheduled with clear PBC lists.</w:t>
              <w:br/>
              <w:br/>
              <w:t>Documents should be uploaded via secure links only. All engagements are under NDA with encrypted storage.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INFO PAGES]</w:t>
      </w:r>
    </w:p>
    <w:p>
      <w:r>
        <w:rPr>
          <w:i/>
          <w:sz w:val="17"/>
        </w:rPr>
        <w:t>These answers populate the Technologies / Projects / Careers / Benefits console pages (and matching WhatsApp intents). Keep Page Name exactly as shown.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fill="6D28D9"/>
          </w:tcPr>
          <w:p>
            <w:r>
              <w:rPr>
                <w:b/>
                <w:color w:val="FFFFFF"/>
                <w:sz w:val="18"/>
              </w:rPr>
              <w:t>Page Name (intent)</w:t>
            </w:r>
          </w:p>
        </w:tc>
        <w:tc>
          <w:tcPr>
            <w:tcW w:type="dxa" w:w="5040"/>
            <w:shd w:fill="6D28D9"/>
          </w:tcPr>
          <w:p>
            <w:r>
              <w:rPr>
                <w:b/>
                <w:color w:val="FFFFFF"/>
                <w:sz w:val="18"/>
              </w:rPr>
              <w:t>Bot Answer Content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6"/>
              </w:rPr>
              <w:t>technologies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6"/>
              </w:rPr>
              <w:t>• How we process loans digitally:</w:t>
              <w:br/>
              <w:t>• PLANET app / web journeys with e-KYC</w:t>
              <w:br/>
              <w:t>• Dealer-point two-wheeler financing</w:t>
              <w:br/>
              <w:t>• Secure document vaulting for gold loans</w:t>
              <w:br/>
              <w:t>• We never ask for OTP or MPIN on WhatsApp.</w:t>
            </w:r>
          </w:p>
        </w:tc>
      </w:tr>
      <w:tr>
        <w:tc>
          <w:tcPr>
            <w:tcW w:type="dxa" w:w="5040"/>
            <w:shd w:fill="F5F3FF"/>
          </w:tcPr>
          <w:p>
            <w:r>
              <w:rPr>
                <w:b/>
                <w:sz w:val="16"/>
              </w:rPr>
              <w:t>projects</w:t>
            </w:r>
          </w:p>
        </w:tc>
        <w:tc>
          <w:tcPr>
            <w:tcW w:type="dxa" w:w="5040"/>
            <w:shd w:fill="F5F3FF"/>
          </w:tcPr>
          <w:p>
            <w:r>
              <w:rPr>
                <w:sz w:val="16"/>
              </w:rPr>
              <w:t>• Lending programs:</w:t>
              <w:br/>
              <w:t>• Two-wheeler, personal, gold, home/LAP and SME finance</w:t>
              <w:br/>
              <w:t>• Balance transfer and top-up options where eligible</w:t>
              <w:br/>
              <w:t>• Ask which product fits your need.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6"/>
              </w:rPr>
              <w:t>careers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6"/>
              </w:rPr>
              <w:t>• Hiring credit, sales and customer-care roles.</w:t>
              <w:br/>
              <w:t>• Share your CV via customercare@ltfs.com with the role named.</w:t>
            </w:r>
          </w:p>
        </w:tc>
      </w:tr>
      <w:tr>
        <w:tc>
          <w:tcPr>
            <w:tcW w:type="dxa" w:w="5040"/>
            <w:shd w:fill="F5F3FF"/>
          </w:tcPr>
          <w:p>
            <w:r>
              <w:rPr>
                <w:b/>
                <w:sz w:val="16"/>
              </w:rPr>
              <w:t>benefits</w:t>
            </w:r>
          </w:p>
        </w:tc>
        <w:tc>
          <w:tcPr>
            <w:tcW w:type="dxa" w:w="5040"/>
            <w:shd w:fill="F5F3FF"/>
          </w:tcPr>
          <w:p>
            <w:r>
              <w:rPr>
                <w:sz w:val="16"/>
              </w:rPr>
              <w:t>• Why borrowers choose L&amp;T Finance:</w:t>
              <w:br/>
              <w:t>• Wide product suite and partner network</w:t>
              <w:br/>
              <w:t>• Fast in-principle decisions on eligible profiles</w:t>
              <w:br/>
              <w:t>• Transparent grievance redressal</w:t>
              <w:br/>
              <w:t>• Chat for guidance — never for passwords.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BOT PERSONA &amp; GUARDRAILS]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Configuration Parameter</w:t>
            </w:r>
          </w:p>
        </w:tc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Bot Behavior / Value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Tone &amp; Persona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Polite, consultative, crisp, and brand-aligned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Welcome Message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Welcome to L&amp;T Finance Limited! How can I assist you today?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Strict Guardrails (Never-Do List)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1. Never offer unauthorized discounts or unlisted pricing.</w:t>
              <w:br/>
              <w:t>2. Never promise dates or legal commitments outside official brochure.</w:t>
              <w:br/>
              <w:t>3. Never request passwords, OTPs, or credit card details.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Human Escalation Trigger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Escalate to live sales agent when user asks for 'human', 'agent', 'manager', or expresses grievance.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