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Early detection of neurodegenerative diseases requires sensitive biomarkers capable of capturing subtle microstructural changes in axons, such as beadings and varicosities, long before clinical symptoms emerge. Our project develops a non-invasive modeling framework that leverages diffusion MRI/NMR techniques to infer axonal geometry by tracking water particle trajectories as they move through complex neuronal pathways. While this approach provides rich microstructural information, accurately fitting thousands to millions of particle trajectories to a multi-parameter physical model is computationally intensive and has previously limited our ability to explore high-resolution parameter spaces.</w:t>
      </w:r>
    </w:p>
    <w:p w:rsidR="00000000" w:rsidDel="00000000" w:rsidP="00000000" w:rsidRDefault="00000000" w:rsidRPr="00000000" w14:paraId="00000002">
      <w:pPr>
        <w:spacing w:after="240" w:before="240" w:lineRule="auto"/>
        <w:rPr/>
      </w:pPr>
      <w:r w:rsidDel="00000000" w:rsidR="00000000" w:rsidRPr="00000000">
        <w:rPr>
          <w:rtl w:val="0"/>
        </w:rPr>
        <w:t xml:space="preserve">To overcome these constraints, we implemented a parallelized computation pipeline using the </w:t>
      </w:r>
      <w:r w:rsidDel="00000000" w:rsidR="00000000" w:rsidRPr="00000000">
        <w:rPr>
          <w:b w:val="1"/>
          <w:bCs w:val="1"/>
          <w:rtl w:val="0"/>
        </w:rPr>
        <w:t xml:space="preserve">Anvil supercomputing cluster at Purdue University</w:t>
      </w:r>
      <w:r w:rsidDel="00000000" w:rsidR="00000000" w:rsidRPr="00000000">
        <w:rPr>
          <w:rtl w:val="0"/>
        </w:rPr>
        <w:t xml:space="preserve">. By distributing particle-simulation batches and model-fitting routines across multiple nodes and CPUs, we significantly accelerated the inference process for water diffusion trajectories within axon-like geometries. This parallel framework enables efficient estimation of multi-parameter functions describing particle displacement, reflection, and restricted diffusion, thereby improving both the resolution and scalability of our axonal mapping method.</w:t>
      </w:r>
    </w:p>
    <w:p w:rsidR="00000000" w:rsidDel="00000000" w:rsidP="00000000" w:rsidRDefault="00000000" w:rsidRPr="00000000" w14:paraId="00000003">
      <w:pPr>
        <w:spacing w:after="240" w:before="240" w:lineRule="auto"/>
        <w:rPr/>
      </w:pPr>
      <w:r w:rsidDel="00000000" w:rsidR="00000000" w:rsidRPr="00000000">
        <w:rPr>
          <w:rtl w:val="0"/>
        </w:rPr>
        <w:t xml:space="preserve">This computational advancement allows us to process larger datasets, evaluate more complex biophysical models, and enhance the sensitivity of our diffusion-based markers for detecting early axonal abnormalities associated with neurodegenerative disease.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240"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Hey Jie,</w:t>
      </w:r>
    </w:p>
    <w:p w:rsidR="00000000" w:rsidDel="00000000" w:rsidP="00000000" w:rsidRDefault="00000000" w:rsidRPr="00000000" w14:paraId="00000006">
      <w:pPr>
        <w:spacing w:line="240" w:lineRule="auto"/>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07">
      <w:pPr>
        <w:spacing w:line="240"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The axon simulation and use of supercomputers are two projects I have been working on.</w:t>
      </w:r>
    </w:p>
    <w:p w:rsidR="00000000" w:rsidDel="00000000" w:rsidP="00000000" w:rsidRDefault="00000000" w:rsidRPr="00000000" w14:paraId="00000008">
      <w:pPr>
        <w:spacing w:line="240" w:lineRule="auto"/>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09">
      <w:pPr>
        <w:spacing w:line="240" w:lineRule="auto"/>
        <w:rPr>
          <w:rFonts w:ascii="Helvetica Neue" w:cs="Helvetica Neue" w:eastAsia="Helvetica Neue" w:hAnsi="Helvetica Neue"/>
          <w:sz w:val="18"/>
          <w:szCs w:val="18"/>
        </w:rPr>
      </w:pPr>
      <w:r w:rsidDel="00000000" w:rsidR="00000000" w:rsidRPr="00000000">
        <w:rPr>
          <w:sz w:val="18"/>
          <w:szCs w:val="18"/>
          <w:rtl w:val="0"/>
        </w:rPr>
        <w:t xml:space="preserve">For the axon project to add to motivation:</w:t>
      </w:r>
      <w:r w:rsidDel="00000000" w:rsidR="00000000" w:rsidRPr="00000000">
        <w:rPr>
          <w:rtl w:val="0"/>
        </w:rPr>
      </w:r>
    </w:p>
    <w:p w:rsidR="00000000" w:rsidDel="00000000" w:rsidP="00000000" w:rsidRDefault="00000000" w:rsidRPr="00000000" w14:paraId="0000000A">
      <w:pPr>
        <w:spacing w:line="240" w:lineRule="auto"/>
        <w:rPr>
          <w:sz w:val="18"/>
          <w:szCs w:val="18"/>
        </w:rPr>
      </w:pPr>
      <w:r w:rsidDel="00000000" w:rsidR="00000000" w:rsidRPr="00000000">
        <w:rPr>
          <w:sz w:val="18"/>
          <w:szCs w:val="18"/>
          <w:rtl w:val="0"/>
        </w:rPr>
        <w:t xml:space="preserve">One central piece of motivation is the identification of axonal beading, where bulb-like swellings form along the axonal structure, and it is a sign of early neurodegenerative diseases, so we are attempting to improve our understanding of diffusion in axons and brain MRI.</w:t>
      </w:r>
    </w:p>
    <w:p w:rsidR="00000000" w:rsidDel="00000000" w:rsidP="00000000" w:rsidRDefault="00000000" w:rsidRPr="00000000" w14:paraId="0000000B">
      <w:pPr>
        <w:spacing w:line="240" w:lineRule="auto"/>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0C">
      <w:pPr>
        <w:spacing w:line="240" w:lineRule="auto"/>
        <w:rPr>
          <w:rFonts w:ascii="Helvetica Neue" w:cs="Helvetica Neue" w:eastAsia="Helvetica Neue" w:hAnsi="Helvetica Neue"/>
          <w:sz w:val="18"/>
          <w:szCs w:val="18"/>
        </w:rPr>
      </w:pPr>
      <w:r w:rsidDel="00000000" w:rsidR="00000000" w:rsidRPr="00000000">
        <w:rPr>
          <w:sz w:val="18"/>
          <w:szCs w:val="18"/>
          <w:rtl w:val="0"/>
        </w:rPr>
        <w:t xml:space="preserve">Model Assumptions:</w:t>
      </w:r>
      <w:r w:rsidDel="00000000" w:rsidR="00000000" w:rsidRPr="00000000">
        <w:rPr>
          <w:rtl w:val="0"/>
        </w:rPr>
      </w:r>
    </w:p>
    <w:p w:rsidR="00000000" w:rsidDel="00000000" w:rsidP="00000000" w:rsidRDefault="00000000" w:rsidRPr="00000000" w14:paraId="0000000D">
      <w:pPr>
        <w:spacing w:line="240" w:lineRule="auto"/>
        <w:rPr>
          <w:sz w:val="18"/>
          <w:szCs w:val="18"/>
        </w:rPr>
      </w:pPr>
      <w:r w:rsidDel="00000000" w:rsidR="00000000" w:rsidRPr="00000000">
        <w:rPr>
          <w:sz w:val="18"/>
          <w:szCs w:val="18"/>
          <w:rtl w:val="0"/>
        </w:rPr>
        <w:t xml:space="preserve">- We set the simulations as a random walk, where each particle takes steps randomly sampled from a Gaussian distribution. We track the distribution both along the absolute X, Y, and Z axes and the relative axes, where the x-axis aligns with the direction of the axon and the y and z-axis are orthogonal components. We vary the total diffusion time, the length of each particle step, and the number of particles to fully understand how variations in parameters can reveal more information about the axons. </w:t>
      </w:r>
    </w:p>
    <w:p w:rsidR="00000000" w:rsidDel="00000000" w:rsidP="00000000" w:rsidRDefault="00000000" w:rsidRPr="00000000" w14:paraId="0000000E">
      <w:pPr>
        <w:spacing w:line="240" w:lineRule="auto"/>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0F">
      <w:pPr>
        <w:spacing w:line="240" w:lineRule="auto"/>
        <w:rPr>
          <w:sz w:val="18"/>
          <w:szCs w:val="18"/>
        </w:rPr>
      </w:pPr>
      <w:r w:rsidDel="00000000" w:rsidR="00000000" w:rsidRPr="00000000">
        <w:rPr>
          <w:sz w:val="18"/>
          <w:szCs w:val="18"/>
          <w:rtl w:val="0"/>
        </w:rPr>
        <w:t xml:space="preserve">- In regard to the boundary conditions, we engineered different possibilities. First, we took random steps until the particle would lie outside of the boundary, and then repeated random steps until it landed inside. Second, we tried integrating perfect reflection on the boundary, but this required much more computational power because of the complex geometry of the axon. Lastly, we tried stopping the particle once it reached the boundary, and then taking a random step from there. There were no significant changes in the results of these three methods.</w:t>
      </w:r>
    </w:p>
    <w:p w:rsidR="00000000" w:rsidDel="00000000" w:rsidP="00000000" w:rsidRDefault="00000000" w:rsidRPr="00000000" w14:paraId="00000010">
      <w:pPr>
        <w:spacing w:line="240" w:lineRule="auto"/>
        <w:rPr>
          <w:rFonts w:ascii="Helvetica Neue" w:cs="Helvetica Neue" w:eastAsia="Helvetica Neue" w:hAnsi="Helvetica Neue"/>
          <w:sz w:val="18"/>
          <w:szCs w:val="18"/>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1">
      <w:pPr>
        <w:spacing w:line="240" w:lineRule="auto"/>
        <w:rPr>
          <w:rFonts w:ascii="Helvetica Neue" w:cs="Helvetica Neue" w:eastAsia="Helvetica Neue" w:hAnsi="Helvetica Neue"/>
          <w:sz w:val="18"/>
          <w:szCs w:val="18"/>
        </w:rPr>
      </w:pPr>
      <w:r w:rsidDel="00000000" w:rsidR="00000000" w:rsidRPr="00000000">
        <w:rPr>
          <w:sz w:val="18"/>
          <w:szCs w:val="18"/>
          <w:rtl w:val="0"/>
        </w:rPr>
        <w:t xml:space="preserve">- What other model assumptions should we consider? </w:t>
      </w:r>
      <w:r w:rsidDel="00000000" w:rsidR="00000000" w:rsidRPr="00000000">
        <w:rPr>
          <w:rtl w:val="0"/>
        </w:rPr>
      </w:r>
    </w:p>
    <w:p w:rsidR="00000000" w:rsidDel="00000000" w:rsidP="00000000" w:rsidRDefault="00000000" w:rsidRPr="00000000" w14:paraId="00000012">
      <w:pPr>
        <w:spacing w:line="240" w:lineRule="auto"/>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13">
      <w:pPr>
        <w:spacing w:line="240" w:lineRule="auto"/>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14">
      <w:pPr>
        <w:spacing w:line="240" w:lineRule="auto"/>
        <w:rPr>
          <w:rFonts w:ascii="Helvetica Neue" w:cs="Helvetica Neue" w:eastAsia="Helvetica Neue" w:hAnsi="Helvetica Neue"/>
          <w:sz w:val="18"/>
          <w:szCs w:val="18"/>
        </w:rPr>
      </w:pPr>
      <w:r w:rsidDel="00000000" w:rsidR="00000000" w:rsidRPr="00000000">
        <w:rPr>
          <w:sz w:val="18"/>
          <w:szCs w:val="18"/>
          <w:rtl w:val="0"/>
        </w:rPr>
        <w:t xml:space="preserve">The goal of the supercomputing project is to accelerate the processing of diffusion MRI data using FLI:</w:t>
      </w:r>
      <w:r w:rsidDel="00000000" w:rsidR="00000000" w:rsidRPr="00000000">
        <w:rPr>
          <w:rtl w:val="0"/>
        </w:rPr>
      </w:r>
    </w:p>
    <w:p w:rsidR="00000000" w:rsidDel="00000000" w:rsidP="00000000" w:rsidRDefault="00000000" w:rsidRPr="00000000" w14:paraId="00000015">
      <w:pPr>
        <w:numPr>
          <w:ilvl w:val="0"/>
          <w:numId w:val="1"/>
        </w:numPr>
        <w:spacing w:line="240" w:lineRule="auto"/>
        <w:ind w:left="720" w:hanging="360"/>
        <w:rPr>
          <w:sz w:val="18"/>
          <w:szCs w:val="18"/>
        </w:rPr>
      </w:pPr>
      <w:r w:rsidDel="00000000" w:rsidR="00000000" w:rsidRPr="00000000">
        <w:rPr>
          <w:sz w:val="18"/>
          <w:szCs w:val="18"/>
          <w:rtl w:val="0"/>
        </w:rPr>
        <w:t xml:space="preserve">Computational Setup:</w:t>
      </w:r>
    </w:p>
    <w:p w:rsidR="00000000" w:rsidDel="00000000" w:rsidP="00000000" w:rsidRDefault="00000000" w:rsidRPr="00000000" w14:paraId="00000016">
      <w:pPr>
        <w:numPr>
          <w:ilvl w:val="1"/>
          <w:numId w:val="6"/>
        </w:numPr>
        <w:spacing w:line="240" w:lineRule="auto"/>
        <w:ind w:left="1440" w:hanging="360"/>
        <w:rPr>
          <w:sz w:val="18"/>
          <w:szCs w:val="18"/>
        </w:rPr>
      </w:pPr>
      <w:r w:rsidDel="00000000" w:rsidR="00000000" w:rsidRPr="00000000">
        <w:rPr>
          <w:sz w:val="18"/>
          <w:szCs w:val="18"/>
          <w:rtl w:val="0"/>
        </w:rPr>
        <w:t xml:space="preserve">The diffusion MRI data is a (108, 108, 60) cube, and each point of the cube has 434 data points. I ran it at Purdue’s Anvil system:</w:t>
      </w:r>
    </w:p>
    <w:p w:rsidR="00000000" w:rsidDel="00000000" w:rsidP="00000000" w:rsidRDefault="00000000" w:rsidRPr="00000000" w14:paraId="00000017">
      <w:pPr>
        <w:numPr>
          <w:ilvl w:val="2"/>
          <w:numId w:val="12"/>
        </w:numPr>
        <w:spacing w:line="240" w:lineRule="auto"/>
        <w:ind w:left="2160" w:hanging="360"/>
        <w:rPr>
          <w:sz w:val="18"/>
          <w:szCs w:val="18"/>
        </w:rPr>
      </w:pPr>
      <w:r w:rsidDel="00000000" w:rsidR="00000000" w:rsidRPr="00000000">
        <w:rPr>
          <w:sz w:val="18"/>
          <w:szCs w:val="18"/>
          <w:rtl w:val="0"/>
        </w:rPr>
        <w:t xml:space="preserve"> nodes=60, one node for each slice of the cube</w:t>
      </w:r>
    </w:p>
    <w:p w:rsidR="00000000" w:rsidDel="00000000" w:rsidP="00000000" w:rsidRDefault="00000000" w:rsidRPr="00000000" w14:paraId="00000018">
      <w:pPr>
        <w:numPr>
          <w:ilvl w:val="2"/>
          <w:numId w:val="8"/>
        </w:numPr>
        <w:spacing w:line="240" w:lineRule="auto"/>
        <w:ind w:left="2160" w:hanging="360"/>
        <w:rPr>
          <w:sz w:val="18"/>
          <w:szCs w:val="18"/>
        </w:rPr>
      </w:pPr>
      <w:r w:rsidDel="00000000" w:rsidR="00000000" w:rsidRPr="00000000">
        <w:rPr>
          <w:sz w:val="18"/>
          <w:szCs w:val="18"/>
          <w:rtl w:val="0"/>
        </w:rPr>
        <w:t xml:space="preserve">cores=6480, one core dedicated to each row of each slice</w:t>
      </w:r>
    </w:p>
    <w:p w:rsidR="00000000" w:rsidDel="00000000" w:rsidP="00000000" w:rsidRDefault="00000000" w:rsidRPr="00000000" w14:paraId="00000019">
      <w:pPr>
        <w:numPr>
          <w:ilvl w:val="2"/>
          <w:numId w:val="5"/>
        </w:numPr>
        <w:spacing w:line="240" w:lineRule="auto"/>
        <w:ind w:left="2160" w:hanging="360"/>
        <w:rPr>
          <w:sz w:val="18"/>
          <w:szCs w:val="18"/>
        </w:rPr>
      </w:pPr>
      <w:r w:rsidDel="00000000" w:rsidR="00000000" w:rsidRPr="00000000">
        <w:rPr>
          <w:sz w:val="18"/>
          <w:szCs w:val="18"/>
          <w:rtl w:val="0"/>
        </w:rPr>
        <w:t xml:space="preserve">memory=240GB, the total file size is ~2GB and loaded in one core, every assigned row is sent to every corresponding core, so the total memory per row is just double, 4GB.</w:t>
      </w:r>
    </w:p>
    <w:p w:rsidR="00000000" w:rsidDel="00000000" w:rsidP="00000000" w:rsidRDefault="00000000" w:rsidRPr="00000000" w14:paraId="0000001A">
      <w:pPr>
        <w:numPr>
          <w:ilvl w:val="0"/>
          <w:numId w:val="5"/>
        </w:numPr>
        <w:spacing w:line="240" w:lineRule="auto"/>
        <w:ind w:left="720" w:hanging="360"/>
        <w:rPr>
          <w:sz w:val="18"/>
          <w:szCs w:val="18"/>
        </w:rPr>
      </w:pPr>
      <w:r w:rsidDel="00000000" w:rsidR="00000000" w:rsidRPr="00000000">
        <w:rPr>
          <w:sz w:val="18"/>
          <w:szCs w:val="18"/>
          <w:rtl w:val="0"/>
        </w:rPr>
        <w:t xml:space="preserve">How fast it runs compared to a local machine</w:t>
      </w:r>
    </w:p>
    <w:p w:rsidR="00000000" w:rsidDel="00000000" w:rsidP="00000000" w:rsidRDefault="00000000" w:rsidRPr="00000000" w14:paraId="0000001B">
      <w:pPr>
        <w:numPr>
          <w:ilvl w:val="1"/>
          <w:numId w:val="11"/>
        </w:numPr>
        <w:spacing w:line="240" w:lineRule="auto"/>
        <w:ind w:left="1440" w:hanging="360"/>
        <w:rPr>
          <w:sz w:val="18"/>
          <w:szCs w:val="18"/>
        </w:rPr>
      </w:pPr>
      <w:r w:rsidDel="00000000" w:rsidR="00000000" w:rsidRPr="00000000">
        <w:rPr>
          <w:sz w:val="18"/>
          <w:szCs w:val="18"/>
          <w:rtl w:val="0"/>
        </w:rPr>
        <w:t xml:space="preserve">Right now, local computing running on GPU can run one point in the cube per second, so it would take around 200 hours (Is this right? I got it from 108 * 108 * 60)</w:t>
      </w:r>
    </w:p>
    <w:p w:rsidR="00000000" w:rsidDel="00000000" w:rsidP="00000000" w:rsidRDefault="00000000" w:rsidRPr="00000000" w14:paraId="0000001C">
      <w:pPr>
        <w:numPr>
          <w:ilvl w:val="1"/>
          <w:numId w:val="4"/>
        </w:numPr>
        <w:spacing w:line="240" w:lineRule="auto"/>
        <w:ind w:left="1440" w:hanging="360"/>
        <w:rPr>
          <w:sz w:val="18"/>
          <w:szCs w:val="18"/>
        </w:rPr>
      </w:pPr>
      <w:r w:rsidDel="00000000" w:rsidR="00000000" w:rsidRPr="00000000">
        <w:rPr>
          <w:sz w:val="18"/>
          <w:szCs w:val="18"/>
          <w:rtl w:val="0"/>
        </w:rPr>
        <w:t xml:space="preserve">On the computing cluster, it currently takes 3 hours, and we hope to reduce it further</w:t>
      </w:r>
    </w:p>
    <w:p w:rsidR="00000000" w:rsidDel="00000000" w:rsidP="00000000" w:rsidRDefault="00000000" w:rsidRPr="00000000" w14:paraId="0000001D">
      <w:pPr>
        <w:numPr>
          <w:ilvl w:val="0"/>
          <w:numId w:val="4"/>
        </w:numPr>
        <w:spacing w:line="240" w:lineRule="auto"/>
        <w:ind w:left="720" w:hanging="360"/>
        <w:rPr>
          <w:sz w:val="18"/>
          <w:szCs w:val="18"/>
        </w:rPr>
      </w:pPr>
      <w:r w:rsidDel="00000000" w:rsidR="00000000" w:rsidRPr="00000000">
        <w:rPr>
          <w:sz w:val="18"/>
          <w:szCs w:val="18"/>
          <w:rtl w:val="0"/>
        </w:rPr>
        <w:t xml:space="preserve">How these calculations could assist future work</w:t>
      </w:r>
    </w:p>
    <w:p w:rsidR="00000000" w:rsidDel="00000000" w:rsidP="00000000" w:rsidRDefault="00000000" w:rsidRPr="00000000" w14:paraId="0000001E">
      <w:pPr>
        <w:numPr>
          <w:ilvl w:val="1"/>
          <w:numId w:val="9"/>
        </w:numPr>
        <w:spacing w:line="240" w:lineRule="auto"/>
        <w:ind w:left="1440" w:hanging="360"/>
        <w:rPr>
          <w:sz w:val="18"/>
          <w:szCs w:val="18"/>
        </w:rPr>
      </w:pPr>
      <w:r w:rsidDel="00000000" w:rsidR="00000000" w:rsidRPr="00000000">
        <w:rPr>
          <w:sz w:val="18"/>
          <w:szCs w:val="18"/>
          <w:rtl w:val="0"/>
        </w:rPr>
        <w:t xml:space="preserve">By speeding up our calculations and subsequent understanding of axonal structure, we will be able to support real-time clinical decision making rather than waiting several days for results to be processed. This also reduces costs and increases accessibility</w:t>
      </w:r>
    </w:p>
    <w:p w:rsidR="00000000" w:rsidDel="00000000" w:rsidP="00000000" w:rsidRDefault="00000000" w:rsidRPr="00000000" w14:paraId="0000001F">
      <w:pPr>
        <w:numPr>
          <w:ilvl w:val="0"/>
          <w:numId w:val="9"/>
        </w:numPr>
        <w:spacing w:after="280" w:before="280" w:line="240" w:lineRule="auto"/>
        <w:ind w:left="720" w:hanging="360"/>
        <w:rPr>
          <w:rFonts w:ascii="Helvetica Neue" w:cs="Helvetica Neue" w:eastAsia="Helvetica Neue" w:hAnsi="Helvetica Neue"/>
          <w:sz w:val="18"/>
          <w:szCs w:val="18"/>
        </w:rPr>
      </w:pPr>
      <w:r w:rsidDel="00000000" w:rsidR="00000000" w:rsidRPr="00000000">
        <w:rPr>
          <w:sz w:val="18"/>
          <w:szCs w:val="18"/>
          <w:rtl w:val="0"/>
        </w:rPr>
        <w:t xml:space="preserve">Motivation and code structure:</w:t>
      </w:r>
      <w:r w:rsidDel="00000000" w:rsidR="00000000" w:rsidRPr="00000000">
        <w:rPr>
          <w:rtl w:val="0"/>
        </w:rPr>
      </w:r>
    </w:p>
    <w:p w:rsidR="00000000" w:rsidDel="00000000" w:rsidP="00000000" w:rsidRDefault="00000000" w:rsidRPr="00000000" w14:paraId="00000020">
      <w:pPr>
        <w:numPr>
          <w:ilvl w:val="1"/>
          <w:numId w:val="10"/>
        </w:numPr>
        <w:spacing w:line="240" w:lineRule="auto"/>
        <w:ind w:left="720" w:hanging="360"/>
        <w:rPr>
          <w:rFonts w:ascii="Aptos" w:cs="Aptos" w:eastAsia="Aptos" w:hAnsi="Aptos"/>
          <w:sz w:val="24"/>
          <w:szCs w:val="24"/>
        </w:rPr>
      </w:pPr>
      <w:r w:rsidDel="00000000" w:rsidR="00000000" w:rsidRPr="00000000">
        <w:rPr>
          <w:sz w:val="18"/>
          <w:szCs w:val="18"/>
          <w:rtl w:val="0"/>
        </w:rPr>
        <w:t xml:space="preserve">We load a 4D MRI dataset (slice, row, column, gradient direction and b values)</w:t>
      </w:r>
    </w:p>
    <w:p w:rsidR="00000000" w:rsidDel="00000000" w:rsidP="00000000" w:rsidRDefault="00000000" w:rsidRPr="00000000" w14:paraId="00000021">
      <w:pPr>
        <w:numPr>
          <w:ilvl w:val="1"/>
          <w:numId w:val="3"/>
        </w:numPr>
        <w:spacing w:line="240" w:lineRule="auto"/>
        <w:ind w:left="720" w:hanging="360"/>
        <w:rPr>
          <w:rFonts w:ascii="Aptos" w:cs="Aptos" w:eastAsia="Aptos" w:hAnsi="Aptos"/>
          <w:sz w:val="24"/>
          <w:szCs w:val="24"/>
        </w:rPr>
      </w:pPr>
      <w:r w:rsidDel="00000000" w:rsidR="00000000" w:rsidRPr="00000000">
        <w:rPr>
          <w:sz w:val="18"/>
          <w:szCs w:val="18"/>
          <w:rtl w:val="0"/>
        </w:rPr>
        <w:t xml:space="preserve">We run an FLI inversion on each point in the cube, where FLI inversion estimates underlying diffusion properties </w:t>
      </w:r>
    </w:p>
    <w:p w:rsidR="00000000" w:rsidDel="00000000" w:rsidP="00000000" w:rsidRDefault="00000000" w:rsidRPr="00000000" w14:paraId="00000022">
      <w:pPr>
        <w:numPr>
          <w:ilvl w:val="1"/>
          <w:numId w:val="7"/>
        </w:numPr>
        <w:spacing w:line="240" w:lineRule="auto"/>
        <w:ind w:left="720" w:hanging="360"/>
        <w:rPr>
          <w:rFonts w:ascii="Aptos" w:cs="Aptos" w:eastAsia="Aptos" w:hAnsi="Aptos"/>
          <w:sz w:val="24"/>
          <w:szCs w:val="24"/>
        </w:rPr>
      </w:pPr>
      <w:r w:rsidDel="00000000" w:rsidR="00000000" w:rsidRPr="00000000">
        <w:rPr>
          <w:sz w:val="18"/>
          <w:szCs w:val="18"/>
          <w:rtl w:val="0"/>
        </w:rPr>
        <w:t xml:space="preserve">The FLI inversion is sped up using SVD decomposition of the kernel matrix </w:t>
      </w:r>
    </w:p>
    <w:p w:rsidR="00000000" w:rsidDel="00000000" w:rsidP="00000000" w:rsidRDefault="00000000" w:rsidRPr="00000000" w14:paraId="00000023">
      <w:pPr>
        <w:numPr>
          <w:ilvl w:val="1"/>
          <w:numId w:val="13"/>
        </w:numPr>
        <w:spacing w:line="240" w:lineRule="auto"/>
        <w:ind w:left="720" w:hanging="360"/>
        <w:rPr>
          <w:rFonts w:ascii="Aptos" w:cs="Aptos" w:eastAsia="Aptos" w:hAnsi="Aptos"/>
          <w:sz w:val="24"/>
          <w:szCs w:val="24"/>
        </w:rPr>
      </w:pPr>
      <w:r w:rsidDel="00000000" w:rsidR="00000000" w:rsidRPr="00000000">
        <w:rPr>
          <w:sz w:val="18"/>
          <w:szCs w:val="18"/>
          <w:rtl w:val="0"/>
        </w:rPr>
        <w:t xml:space="preserve">The FLI returns FEst, estimated fiber orientation distribution/diffusivity distribution, pp, parameter vectors, fit, goodness of fit.</w:t>
      </w:r>
    </w:p>
    <w:p w:rsidR="00000000" w:rsidDel="00000000" w:rsidP="00000000" w:rsidRDefault="00000000" w:rsidRPr="00000000" w14:paraId="00000024">
      <w:pPr>
        <w:numPr>
          <w:ilvl w:val="1"/>
          <w:numId w:val="2"/>
        </w:numPr>
        <w:spacing w:line="240" w:lineRule="auto"/>
        <w:ind w:left="720" w:hanging="360"/>
        <w:rPr>
          <w:rFonts w:ascii="Aptos" w:cs="Aptos" w:eastAsia="Aptos" w:hAnsi="Aptos"/>
          <w:sz w:val="24"/>
          <w:szCs w:val="24"/>
        </w:rPr>
      </w:pPr>
      <w:r w:rsidDel="00000000" w:rsidR="00000000" w:rsidRPr="00000000">
        <w:rPr>
          <w:sz w:val="18"/>
          <w:szCs w:val="18"/>
          <w:rtl w:val="0"/>
        </w:rPr>
        <w:t xml:space="preserve">Currently trying to adapt to GPU to speed up calculations.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0"/>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0"/>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0"/>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0"/>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