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sz w:val="32"/>
          <w:szCs w:val="32"/>
          <w:u w:val="single"/>
        </w:rPr>
      </w:pPr>
      <w:r w:rsidDel="00000000" w:rsidR="00000000" w:rsidRPr="00000000">
        <w:rPr>
          <w:rFonts w:ascii="EB Garamond" w:cs="EB Garamond" w:eastAsia="EB Garamond" w:hAnsi="EB Garamond"/>
          <w:sz w:val="40"/>
          <w:szCs w:val="40"/>
          <w:u w:val="single"/>
          <w:rtl w:val="0"/>
        </w:rPr>
        <w:t xml:space="preserve">Feasibility Study</w:t>
      </w:r>
      <w:r w:rsidDel="00000000" w:rsidR="00000000" w:rsidRPr="00000000">
        <w:rPr>
          <w:rtl w:val="0"/>
        </w:rPr>
      </w:r>
    </w:p>
    <w:p w:rsidR="00000000" w:rsidDel="00000000" w:rsidP="00000000" w:rsidRDefault="00000000" w:rsidRPr="00000000" w14:paraId="00000002">
      <w:pPr>
        <w:jc w:val="center"/>
        <w:rPr>
          <w:rFonts w:ascii="EB Garamond" w:cs="EB Garamond" w:eastAsia="EB Garamond" w:hAnsi="EB Garamond"/>
          <w:i w:val="1"/>
          <w:sz w:val="32"/>
          <w:szCs w:val="32"/>
        </w:rPr>
      </w:pPr>
      <w:r w:rsidDel="00000000" w:rsidR="00000000" w:rsidRPr="00000000">
        <w:rPr>
          <w:rFonts w:ascii="EB Garamond" w:cs="EB Garamond" w:eastAsia="EB Garamond" w:hAnsi="EB Garamond"/>
          <w:i w:val="1"/>
          <w:sz w:val="32"/>
          <w:szCs w:val="32"/>
          <w:rtl w:val="0"/>
        </w:rPr>
        <w:t xml:space="preserve">Scholarly Hive: Revolutionizing Academic Engagement</w:t>
      </w:r>
    </w:p>
    <w:p w:rsidR="00000000" w:rsidDel="00000000" w:rsidP="00000000" w:rsidRDefault="00000000" w:rsidRPr="00000000" w14:paraId="00000003">
      <w:pPr>
        <w:jc w:val="center"/>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04">
      <w:pPr>
        <w:jc w:val="center"/>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05">
      <w:pPr>
        <w:jc w:val="center"/>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06">
      <w:pPr>
        <w:jc w:val="cente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Company: Keyboard Junkies INC.</w:t>
      </w:r>
    </w:p>
    <w:p w:rsidR="00000000" w:rsidDel="00000000" w:rsidP="00000000" w:rsidRDefault="00000000" w:rsidRPr="00000000" w14:paraId="00000007">
      <w:pPr>
        <w:jc w:val="left"/>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08">
      <w:pPr>
        <w:jc w:val="cente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3410 Taft Blvd.</w:t>
      </w:r>
    </w:p>
    <w:p w:rsidR="00000000" w:rsidDel="00000000" w:rsidP="00000000" w:rsidRDefault="00000000" w:rsidRPr="00000000" w14:paraId="00000009">
      <w:pPr>
        <w:jc w:val="cente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Wichita Falls, Texas, 76308</w:t>
      </w:r>
    </w:p>
    <w:p w:rsidR="00000000" w:rsidDel="00000000" w:rsidP="00000000" w:rsidRDefault="00000000" w:rsidRPr="00000000" w14:paraId="0000000A">
      <w:pPr>
        <w:jc w:val="center"/>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0B">
      <w:pPr>
        <w:jc w:val="center"/>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0C">
      <w:pPr>
        <w:jc w:val="center"/>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0D">
      <w:pPr>
        <w:jc w:val="cente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March 20th, 2025.</w:t>
      </w:r>
    </w:p>
    <w:p w:rsidR="00000000" w:rsidDel="00000000" w:rsidP="00000000" w:rsidRDefault="00000000" w:rsidRPr="00000000" w14:paraId="0000000E">
      <w:pPr>
        <w:jc w:val="center"/>
        <w:rPr>
          <w:rFonts w:ascii="EB Garamond" w:cs="EB Garamond" w:eastAsia="EB Garamond" w:hAnsi="EB Garamond"/>
          <w:sz w:val="32"/>
          <w:szCs w:val="32"/>
        </w:rPr>
        <w:sectPr>
          <w:headerReference r:id="rId6" w:type="default"/>
          <w:headerReference r:id="rId7"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0F">
      <w:pP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Table of Contents</w:t>
      </w:r>
    </w:p>
    <w:p w:rsidR="00000000" w:rsidDel="00000000" w:rsidP="00000000" w:rsidRDefault="00000000" w:rsidRPr="00000000" w14:paraId="00000010">
      <w:pPr>
        <w:spacing w:line="360" w:lineRule="auto"/>
        <w:jc w:val="center"/>
        <w:rPr>
          <w:rFonts w:ascii="EB Garamond" w:cs="EB Garamond" w:eastAsia="EB Garamond" w:hAnsi="EB Garamond"/>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bb3diextk3o6">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1. Executive Summary</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b w:val="1"/>
              <w:color w:val="000000"/>
              <w:u w:val="none"/>
            </w:rPr>
          </w:pPr>
          <w:hyperlink w:anchor="_vnfk0vg96run">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2. Description of Products and Services</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b w:val="1"/>
              <w:color w:val="000000"/>
              <w:u w:val="none"/>
            </w:rPr>
          </w:pPr>
          <w:hyperlink w:anchor="_1bxnjjt0nyba">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3. Technology Considerations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b w:val="1"/>
              <w:color w:val="000000"/>
              <w:u w:val="none"/>
            </w:rPr>
          </w:pPr>
          <w:hyperlink w:anchor="_ixsgj94icbvu">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4. Product/Service Marketplace</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b w:val="1"/>
              <w:color w:val="000000"/>
              <w:u w:val="none"/>
            </w:rPr>
          </w:pPr>
          <w:hyperlink w:anchor="_yystsw98nr3j">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5. Marketing Strategy</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b w:val="1"/>
              <w:color w:val="000000"/>
              <w:u w:val="none"/>
            </w:rPr>
          </w:pPr>
          <w:hyperlink w:anchor="_ntnk2xdvmmpj">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6. Organization and Staffing</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b w:val="1"/>
              <w:color w:val="000000"/>
              <w:u w:val="none"/>
            </w:rPr>
          </w:pPr>
          <w:hyperlink w:anchor="_7q3uuihzwf4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7. Schedule</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b w:val="1"/>
              <w:color w:val="000000"/>
              <w:u w:val="none"/>
            </w:rPr>
          </w:pPr>
          <w:hyperlink w:anchor="_ej9z4mq31rsv">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8. Financial Projections</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b w:val="1"/>
              <w:color w:val="000000"/>
              <w:u w:val="none"/>
            </w:rPr>
          </w:pPr>
          <w:hyperlink w:anchor="_v1hs1mrbcsev">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9. Findings and Recommendations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B">
      <w:pPr>
        <w:rPr>
          <w:rFonts w:ascii="EB Garamond" w:cs="EB Garamond" w:eastAsia="EB Garamond" w:hAnsi="EB Garamond"/>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numPr>
          <w:ilvl w:val="0"/>
          <w:numId w:val="1"/>
        </w:numPr>
        <w:spacing w:line="360" w:lineRule="auto"/>
        <w:ind w:left="720" w:hanging="360"/>
        <w:rPr>
          <w:rFonts w:ascii="EB Garamond" w:cs="EB Garamond" w:eastAsia="EB Garamond" w:hAnsi="EB Garamond"/>
        </w:rPr>
      </w:pPr>
      <w:bookmarkStart w:colFirst="0" w:colLast="0" w:name="_bb3diextk3o6" w:id="0"/>
      <w:bookmarkEnd w:id="0"/>
      <w:r w:rsidDel="00000000" w:rsidR="00000000" w:rsidRPr="00000000">
        <w:rPr>
          <w:rFonts w:ascii="EB Garamond" w:cs="EB Garamond" w:eastAsia="EB Garamond" w:hAnsi="EB Garamond"/>
          <w:rtl w:val="0"/>
        </w:rPr>
        <w:t xml:space="preserve">Executive Summary</w:t>
      </w:r>
    </w:p>
    <w:p w:rsidR="00000000" w:rsidDel="00000000" w:rsidP="00000000" w:rsidRDefault="00000000" w:rsidRPr="00000000" w14:paraId="0000001D">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E">
      <w:pPr>
        <w:spacing w:line="360" w:lineRule="auto"/>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There is much to be explored and improved in today's expanding realm of academia, and here at Keyboard Junkies INC., Scholarly Hive is a newly developing web-based platform designed to enhance academic collaboration by providing tools for scholars to connect, share resources, and engage in thought-provoking communities. The platform aims to combine the best features of existing platforms like “Rate My Professor,” “Course Hero,” “Reddit,” and “Slack” into one seamless user experience. Students, professors, and institutions will benefit from personalized academic profiles and the ability to access and share resources, communicate privately, and engage in relevant academic discussions within neatly curated online communities.</w:t>
      </w:r>
    </w:p>
    <w:p w:rsidR="00000000" w:rsidDel="00000000" w:rsidP="00000000" w:rsidRDefault="00000000" w:rsidRPr="00000000" w14:paraId="0000001F">
      <w:pPr>
        <w:spacing w:line="360" w:lineRule="auto"/>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feasibility study evaluates the practicality of developing “Scholarly Hive” by addressing key aspects such as product and service description, technology requirements, market potential, financial projections, and staffing needs. The study concludes that the platform holds significant potential for success, given the increasing demand for centralized academic resources and collaborative tools.</w:t>
      </w:r>
    </w:p>
    <w:p w:rsidR="00000000" w:rsidDel="00000000" w:rsidP="00000000" w:rsidRDefault="00000000" w:rsidRPr="00000000" w14:paraId="00000020">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1">
      <w:pPr>
        <w:pStyle w:val="Heading1"/>
        <w:numPr>
          <w:ilvl w:val="0"/>
          <w:numId w:val="1"/>
        </w:numPr>
        <w:spacing w:line="360" w:lineRule="auto"/>
        <w:ind w:left="720" w:hanging="360"/>
        <w:rPr>
          <w:rFonts w:ascii="EB Garamond" w:cs="EB Garamond" w:eastAsia="EB Garamond" w:hAnsi="EB Garamond"/>
        </w:rPr>
      </w:pPr>
      <w:bookmarkStart w:colFirst="0" w:colLast="0" w:name="_vnfk0vg96run" w:id="1"/>
      <w:bookmarkEnd w:id="1"/>
      <w:r w:rsidDel="00000000" w:rsidR="00000000" w:rsidRPr="00000000">
        <w:rPr>
          <w:rFonts w:ascii="EB Garamond" w:cs="EB Garamond" w:eastAsia="EB Garamond" w:hAnsi="EB Garamond"/>
          <w:rtl w:val="0"/>
        </w:rPr>
        <w:t xml:space="preserve">Description of Products and Services</w:t>
      </w:r>
    </w:p>
    <w:p w:rsidR="00000000" w:rsidDel="00000000" w:rsidP="00000000" w:rsidRDefault="00000000" w:rsidRPr="00000000" w14:paraId="00000022">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3">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Scholarly Hive is promising the following features as a part of the requirements elicitation. They are listed as follows;</w:t>
      </w:r>
    </w:p>
    <w:p w:rsidR="00000000" w:rsidDel="00000000" w:rsidP="00000000" w:rsidRDefault="00000000" w:rsidRPr="00000000" w14:paraId="00000024">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Academic Profile Creation:</w:t>
      </w:r>
      <w:r w:rsidDel="00000000" w:rsidR="00000000" w:rsidRPr="00000000">
        <w:rPr>
          <w:rFonts w:ascii="EB Garamond" w:cs="EB Garamond" w:eastAsia="EB Garamond" w:hAnsi="EB Garamond"/>
          <w:sz w:val="24"/>
          <w:szCs w:val="24"/>
          <w:rtl w:val="0"/>
        </w:rPr>
        <w:t xml:space="preserve"> Personalized profiles for students, professors, and institutions to showcase academic achievements, course ratings, and professional experience.</w:t>
      </w:r>
    </w:p>
    <w:p w:rsidR="00000000" w:rsidDel="00000000" w:rsidP="00000000" w:rsidRDefault="00000000" w:rsidRPr="00000000" w14:paraId="00000025">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6">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Course Reviews and Ratings:</w:t>
      </w:r>
      <w:r w:rsidDel="00000000" w:rsidR="00000000" w:rsidRPr="00000000">
        <w:rPr>
          <w:rFonts w:ascii="EB Garamond" w:cs="EB Garamond" w:eastAsia="EB Garamond" w:hAnsi="EB Garamond"/>
          <w:sz w:val="24"/>
          <w:szCs w:val="24"/>
          <w:rtl w:val="0"/>
        </w:rPr>
        <w:t xml:space="preserve"> A robust system for users to rate and review courses and professors, helping prospective students make informed decisions.</w:t>
      </w:r>
    </w:p>
    <w:p w:rsidR="00000000" w:rsidDel="00000000" w:rsidP="00000000" w:rsidRDefault="00000000" w:rsidRPr="00000000" w14:paraId="00000027">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8">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Resource Sharing:</w:t>
      </w:r>
      <w:r w:rsidDel="00000000" w:rsidR="00000000" w:rsidRPr="00000000">
        <w:rPr>
          <w:rFonts w:ascii="EB Garamond" w:cs="EB Garamond" w:eastAsia="EB Garamond" w:hAnsi="EB Garamond"/>
          <w:sz w:val="24"/>
          <w:szCs w:val="24"/>
          <w:rtl w:val="0"/>
        </w:rPr>
        <w:t xml:space="preserve"> A platform for users to upload, share, and access academic resources such as study guides, research papers, lecture notes, and tutorials.</w:t>
      </w:r>
    </w:p>
    <w:p w:rsidR="00000000" w:rsidDel="00000000" w:rsidP="00000000" w:rsidRDefault="00000000" w:rsidRPr="00000000" w14:paraId="00000029">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A">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Private Messaging and Communication:</w:t>
      </w:r>
      <w:r w:rsidDel="00000000" w:rsidR="00000000" w:rsidRPr="00000000">
        <w:rPr>
          <w:rFonts w:ascii="EB Garamond" w:cs="EB Garamond" w:eastAsia="EB Garamond" w:hAnsi="EB Garamond"/>
          <w:sz w:val="24"/>
          <w:szCs w:val="24"/>
          <w:rtl w:val="0"/>
        </w:rPr>
        <w:t xml:space="preserve"> Encrypted private messaging channels for students, professors, and researchers to communicate securely.</w:t>
      </w:r>
    </w:p>
    <w:p w:rsidR="00000000" w:rsidDel="00000000" w:rsidP="00000000" w:rsidRDefault="00000000" w:rsidRPr="00000000" w14:paraId="0000002B">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C">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Dynamic Communities:</w:t>
      </w:r>
      <w:r w:rsidDel="00000000" w:rsidR="00000000" w:rsidRPr="00000000">
        <w:rPr>
          <w:rFonts w:ascii="EB Garamond" w:cs="EB Garamond" w:eastAsia="EB Garamond" w:hAnsi="EB Garamond"/>
          <w:sz w:val="24"/>
          <w:szCs w:val="24"/>
          <w:rtl w:val="0"/>
        </w:rPr>
        <w:t xml:space="preserve"> Topic-based communities where users can discuss specific academic fields, share ideas, and collaborate on projects.</w:t>
      </w:r>
    </w:p>
    <w:p w:rsidR="00000000" w:rsidDel="00000000" w:rsidP="00000000" w:rsidRDefault="00000000" w:rsidRPr="00000000" w14:paraId="0000002D">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E">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These services will be integrated into a user-friendly interface that combines social networking features with academic functionality, addressing the need for a centralized, efficient, and secure academic collaboration space.</w:t>
      </w:r>
    </w:p>
    <w:p w:rsidR="00000000" w:rsidDel="00000000" w:rsidP="00000000" w:rsidRDefault="00000000" w:rsidRPr="00000000" w14:paraId="0000002F">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0">
      <w:pPr>
        <w:pStyle w:val="Heading1"/>
        <w:numPr>
          <w:ilvl w:val="0"/>
          <w:numId w:val="1"/>
        </w:numPr>
        <w:spacing w:line="360" w:lineRule="auto"/>
        <w:ind w:left="720" w:hanging="360"/>
        <w:rPr>
          <w:rFonts w:ascii="EB Garamond" w:cs="EB Garamond" w:eastAsia="EB Garamond" w:hAnsi="EB Garamond"/>
        </w:rPr>
      </w:pPr>
      <w:bookmarkStart w:colFirst="0" w:colLast="0" w:name="_1bxnjjt0nyba" w:id="2"/>
      <w:bookmarkEnd w:id="2"/>
      <w:r w:rsidDel="00000000" w:rsidR="00000000" w:rsidRPr="00000000">
        <w:rPr>
          <w:rFonts w:ascii="EB Garamond" w:cs="EB Garamond" w:eastAsia="EB Garamond" w:hAnsi="EB Garamond"/>
          <w:rtl w:val="0"/>
        </w:rPr>
        <w:t xml:space="preserve">Technology Considerations</w:t>
      </w:r>
    </w:p>
    <w:p w:rsidR="00000000" w:rsidDel="00000000" w:rsidP="00000000" w:rsidRDefault="00000000" w:rsidRPr="00000000" w14:paraId="00000031">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2">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development of Scholarly Hive requires carefully selecting technologies to ensure scalability, security, and seamless user experience. Key considerations include:</w:t>
      </w:r>
    </w:p>
    <w:p w:rsidR="00000000" w:rsidDel="00000000" w:rsidP="00000000" w:rsidRDefault="00000000" w:rsidRPr="00000000" w14:paraId="00000033">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Platform Architecture:</w:t>
      </w:r>
      <w:r w:rsidDel="00000000" w:rsidR="00000000" w:rsidRPr="00000000">
        <w:rPr>
          <w:rFonts w:ascii="EB Garamond" w:cs="EB Garamond" w:eastAsia="EB Garamond" w:hAnsi="EB Garamond"/>
          <w:sz w:val="24"/>
          <w:szCs w:val="24"/>
          <w:rtl w:val="0"/>
        </w:rPr>
        <w:t xml:space="preserve"> Frontend development will utilize JavaScript. MySQL will be a reliable tool for frontend and backend documentation, database management, and scalability. The IDE tool will be Visual Studio. Lastly, for version control, the options are Git and GitHub. A cloud-based architecture using microservices will ensure flexibility, scalability, and resilience.</w:t>
      </w:r>
    </w:p>
    <w:p w:rsidR="00000000" w:rsidDel="00000000" w:rsidP="00000000" w:rsidRDefault="00000000" w:rsidRPr="00000000" w14:paraId="00000034">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5">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Security:</w:t>
      </w:r>
      <w:r w:rsidDel="00000000" w:rsidR="00000000" w:rsidRPr="00000000">
        <w:rPr>
          <w:rFonts w:ascii="EB Garamond" w:cs="EB Garamond" w:eastAsia="EB Garamond" w:hAnsi="EB Garamond"/>
          <w:sz w:val="24"/>
          <w:szCs w:val="24"/>
          <w:rtl w:val="0"/>
        </w:rPr>
        <w:t xml:space="preserve"> Data protection will be paramount, especially since users will share sensitive academic information. Encryption protocols (e.g., AES-256 for data at rest and TLS for data in transit) and compliance with regulations such as GDPR (General Data Protection Regulation), CCPA (California Consumer Privacy Act), and FERPA (Family Educational Rights and Privacy Act) will ensure data security.</w:t>
      </w:r>
    </w:p>
    <w:p w:rsidR="00000000" w:rsidDel="00000000" w:rsidP="00000000" w:rsidRDefault="00000000" w:rsidRPr="00000000" w14:paraId="00000036">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7">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Scalability:</w:t>
      </w:r>
      <w:r w:rsidDel="00000000" w:rsidR="00000000" w:rsidRPr="00000000">
        <w:rPr>
          <w:rFonts w:ascii="EB Garamond" w:cs="EB Garamond" w:eastAsia="EB Garamond" w:hAnsi="EB Garamond"/>
          <w:sz w:val="24"/>
          <w:szCs w:val="24"/>
          <w:rtl w:val="0"/>
        </w:rPr>
        <w:t xml:space="preserve"> The platform will be designed to scale horizontally to support thousands of concurrent users and handle large amounts of academic content. Cloud services (e.g., AWS or Azure) will provide the necessary infrastructure.</w:t>
      </w:r>
    </w:p>
    <w:p w:rsidR="00000000" w:rsidDel="00000000" w:rsidP="00000000" w:rsidRDefault="00000000" w:rsidRPr="00000000" w14:paraId="00000038">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9">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User Experience (UX):</w:t>
      </w:r>
      <w:r w:rsidDel="00000000" w:rsidR="00000000" w:rsidRPr="00000000">
        <w:rPr>
          <w:rFonts w:ascii="EB Garamond" w:cs="EB Garamond" w:eastAsia="EB Garamond" w:hAnsi="EB Garamond"/>
          <w:sz w:val="24"/>
          <w:szCs w:val="24"/>
          <w:rtl w:val="0"/>
        </w:rPr>
        <w:t xml:space="preserve"> A responsive design will ensure accessibility on desktops, tablets, and mobile devices. The interface will be intuitive, minimizing the learning curve for new users.</w:t>
      </w:r>
    </w:p>
    <w:p w:rsidR="00000000" w:rsidDel="00000000" w:rsidP="00000000" w:rsidRDefault="00000000" w:rsidRPr="00000000" w14:paraId="0000003A">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B">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Third-party Integrations:</w:t>
      </w:r>
      <w:r w:rsidDel="00000000" w:rsidR="00000000" w:rsidRPr="00000000">
        <w:rPr>
          <w:rFonts w:ascii="EB Garamond" w:cs="EB Garamond" w:eastAsia="EB Garamond" w:hAnsi="EB Garamond"/>
          <w:sz w:val="24"/>
          <w:szCs w:val="24"/>
          <w:rtl w:val="0"/>
        </w:rPr>
        <w:t xml:space="preserve"> The platform will integrate with existing tools, such as Google Drive for resource sharing and Zoom for virtual meetings, enhancing its utility.</w:t>
      </w:r>
    </w:p>
    <w:p w:rsidR="00000000" w:rsidDel="00000000" w:rsidP="00000000" w:rsidRDefault="00000000" w:rsidRPr="00000000" w14:paraId="0000003C">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D">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E">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F">
      <w:pPr>
        <w:pStyle w:val="Heading1"/>
        <w:numPr>
          <w:ilvl w:val="0"/>
          <w:numId w:val="1"/>
        </w:numPr>
        <w:spacing w:line="360" w:lineRule="auto"/>
        <w:ind w:left="720" w:hanging="360"/>
        <w:rPr>
          <w:rFonts w:ascii="EB Garamond" w:cs="EB Garamond" w:eastAsia="EB Garamond" w:hAnsi="EB Garamond"/>
        </w:rPr>
      </w:pPr>
      <w:bookmarkStart w:colFirst="0" w:colLast="0" w:name="_ixsgj94icbvu" w:id="3"/>
      <w:bookmarkEnd w:id="3"/>
      <w:r w:rsidDel="00000000" w:rsidR="00000000" w:rsidRPr="00000000">
        <w:rPr>
          <w:rFonts w:ascii="EB Garamond" w:cs="EB Garamond" w:eastAsia="EB Garamond" w:hAnsi="EB Garamond"/>
          <w:rtl w:val="0"/>
        </w:rPr>
        <w:t xml:space="preserve">Product/Service Marketplace</w:t>
      </w:r>
    </w:p>
    <w:p w:rsidR="00000000" w:rsidDel="00000000" w:rsidP="00000000" w:rsidRDefault="00000000" w:rsidRPr="00000000" w14:paraId="00000040">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1">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Scholarly Hive's academic and professional marketplace includes diverse users, including students, professors, researchers, and educational institutions.</w:t>
      </w:r>
    </w:p>
    <w:p w:rsidR="00000000" w:rsidDel="00000000" w:rsidP="00000000" w:rsidRDefault="00000000" w:rsidRPr="00000000" w14:paraId="00000042">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3">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Target Audience:</w:t>
      </w:r>
    </w:p>
    <w:p w:rsidR="00000000" w:rsidDel="00000000" w:rsidP="00000000" w:rsidRDefault="00000000" w:rsidRPr="00000000" w14:paraId="00000044">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5">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Students:</w:t>
      </w:r>
      <w:r w:rsidDel="00000000" w:rsidR="00000000" w:rsidRPr="00000000">
        <w:rPr>
          <w:rFonts w:ascii="EB Garamond" w:cs="EB Garamond" w:eastAsia="EB Garamond" w:hAnsi="EB Garamond"/>
          <w:sz w:val="24"/>
          <w:szCs w:val="24"/>
          <w:rtl w:val="0"/>
        </w:rPr>
        <w:t xml:space="preserve"> Seeking resources, course feedback, and networking opportunities with peers and professors.</w:t>
      </w:r>
    </w:p>
    <w:p w:rsidR="00000000" w:rsidDel="00000000" w:rsidP="00000000" w:rsidRDefault="00000000" w:rsidRPr="00000000" w14:paraId="00000046">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Professors and Researchers:</w:t>
      </w:r>
      <w:r w:rsidDel="00000000" w:rsidR="00000000" w:rsidRPr="00000000">
        <w:rPr>
          <w:rFonts w:ascii="EB Garamond" w:cs="EB Garamond" w:eastAsia="EB Garamond" w:hAnsi="EB Garamond"/>
          <w:sz w:val="24"/>
          <w:szCs w:val="24"/>
          <w:rtl w:val="0"/>
        </w:rPr>
        <w:t xml:space="preserve"> Looking to share educational materials, collaborate with colleagues, and receive student feedback.</w:t>
      </w:r>
    </w:p>
    <w:p w:rsidR="00000000" w:rsidDel="00000000" w:rsidP="00000000" w:rsidRDefault="00000000" w:rsidRPr="00000000" w14:paraId="00000047">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Educational Institutions:</w:t>
      </w:r>
      <w:r w:rsidDel="00000000" w:rsidR="00000000" w:rsidRPr="00000000">
        <w:rPr>
          <w:rFonts w:ascii="EB Garamond" w:cs="EB Garamond" w:eastAsia="EB Garamond" w:hAnsi="EB Garamond"/>
          <w:sz w:val="24"/>
          <w:szCs w:val="24"/>
          <w:rtl w:val="0"/>
        </w:rPr>
        <w:t xml:space="preserve"> Interested in using the platform for academic collaboration and to facilitate resource-sharing within their organization.</w:t>
      </w:r>
    </w:p>
    <w:p w:rsidR="00000000" w:rsidDel="00000000" w:rsidP="00000000" w:rsidRDefault="00000000" w:rsidRPr="00000000" w14:paraId="00000048">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9">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Competitive Landscape:</w:t>
      </w:r>
    </w:p>
    <w:p w:rsidR="00000000" w:rsidDel="00000000" w:rsidP="00000000" w:rsidRDefault="00000000" w:rsidRPr="00000000" w14:paraId="0000004A">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B">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“Rate My Professor”:</w:t>
      </w:r>
      <w:r w:rsidDel="00000000" w:rsidR="00000000" w:rsidRPr="00000000">
        <w:rPr>
          <w:rFonts w:ascii="EB Garamond" w:cs="EB Garamond" w:eastAsia="EB Garamond" w:hAnsi="EB Garamond"/>
          <w:sz w:val="24"/>
          <w:szCs w:val="24"/>
          <w:rtl w:val="0"/>
        </w:rPr>
        <w:t xml:space="preserve"> Focuses on course and professor ratings but lacks more distinct collaboration tools.</w:t>
      </w:r>
    </w:p>
    <w:p w:rsidR="00000000" w:rsidDel="00000000" w:rsidP="00000000" w:rsidRDefault="00000000" w:rsidRPr="00000000" w14:paraId="0000004C">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“Course Hero”:</w:t>
      </w:r>
      <w:r w:rsidDel="00000000" w:rsidR="00000000" w:rsidRPr="00000000">
        <w:rPr>
          <w:rFonts w:ascii="EB Garamond" w:cs="EB Garamond" w:eastAsia="EB Garamond" w:hAnsi="EB Garamond"/>
          <w:sz w:val="24"/>
          <w:szCs w:val="24"/>
          <w:rtl w:val="0"/>
        </w:rPr>
        <w:t xml:space="preserve"> Specializes in resource-sharing but does not offer real-time communication or collaboration features. It is also not ideal due to the unavoidable paywall users must scale to access anything meaningful.</w:t>
      </w:r>
    </w:p>
    <w:p w:rsidR="00000000" w:rsidDel="00000000" w:rsidP="00000000" w:rsidRDefault="00000000" w:rsidRPr="00000000" w14:paraId="0000004D">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“Slack”:</w:t>
      </w:r>
      <w:r w:rsidDel="00000000" w:rsidR="00000000" w:rsidRPr="00000000">
        <w:rPr>
          <w:rFonts w:ascii="EB Garamond" w:cs="EB Garamond" w:eastAsia="EB Garamond" w:hAnsi="EB Garamond"/>
          <w:sz w:val="24"/>
          <w:szCs w:val="24"/>
          <w:rtl w:val="0"/>
        </w:rPr>
        <w:t xml:space="preserve"> While Slack is widely used for team collaboration, it is not specifically tailored for academic environments.</w:t>
      </w:r>
    </w:p>
    <w:p w:rsidR="00000000" w:rsidDel="00000000" w:rsidP="00000000" w:rsidRDefault="00000000" w:rsidRPr="00000000" w14:paraId="0000004E">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“Reddit”:</w:t>
      </w:r>
      <w:r w:rsidDel="00000000" w:rsidR="00000000" w:rsidRPr="00000000">
        <w:rPr>
          <w:rFonts w:ascii="EB Garamond" w:cs="EB Garamond" w:eastAsia="EB Garamond" w:hAnsi="EB Garamond"/>
          <w:sz w:val="24"/>
          <w:szCs w:val="24"/>
          <w:rtl w:val="0"/>
        </w:rPr>
        <w:t xml:space="preserve"> Though one of the most popular community thread-based platforms, Reddit lacks the academic atmosphere young scholars seek while also lacking designated rating tools.</w:t>
      </w:r>
    </w:p>
    <w:p w:rsidR="00000000" w:rsidDel="00000000" w:rsidP="00000000" w:rsidRDefault="00000000" w:rsidRPr="00000000" w14:paraId="0000004F">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0">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Market Opportunity:</w:t>
      </w:r>
      <w:r w:rsidDel="00000000" w:rsidR="00000000" w:rsidRPr="00000000">
        <w:rPr>
          <w:rFonts w:ascii="EB Garamond" w:cs="EB Garamond" w:eastAsia="EB Garamond" w:hAnsi="EB Garamond"/>
          <w:sz w:val="24"/>
          <w:szCs w:val="24"/>
          <w:rtl w:val="0"/>
        </w:rPr>
        <w:t xml:space="preserve"> There is a growing demand for platforms that streamline academic collaboration, especially as online learning and remote work continue to rise. Scholarly Hive can capture this market by offering a one-stop solution for academic networking, collaboration, and resource sharing.</w:t>
      </w:r>
    </w:p>
    <w:p w:rsidR="00000000" w:rsidDel="00000000" w:rsidP="00000000" w:rsidRDefault="00000000" w:rsidRPr="00000000" w14:paraId="00000051">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2">
      <w:pPr>
        <w:pStyle w:val="Heading1"/>
        <w:numPr>
          <w:ilvl w:val="0"/>
          <w:numId w:val="1"/>
        </w:numPr>
        <w:spacing w:line="360" w:lineRule="auto"/>
        <w:ind w:left="720" w:hanging="360"/>
        <w:rPr>
          <w:rFonts w:ascii="EB Garamond" w:cs="EB Garamond" w:eastAsia="EB Garamond" w:hAnsi="EB Garamond"/>
        </w:rPr>
      </w:pPr>
      <w:bookmarkStart w:colFirst="0" w:colLast="0" w:name="_yystsw98nr3j" w:id="4"/>
      <w:bookmarkEnd w:id="4"/>
      <w:r w:rsidDel="00000000" w:rsidR="00000000" w:rsidRPr="00000000">
        <w:rPr>
          <w:rFonts w:ascii="EB Garamond" w:cs="EB Garamond" w:eastAsia="EB Garamond" w:hAnsi="EB Garamond"/>
          <w:rtl w:val="0"/>
        </w:rPr>
        <w:t xml:space="preserve">Marketing Strategy</w:t>
      </w:r>
    </w:p>
    <w:p w:rsidR="00000000" w:rsidDel="00000000" w:rsidP="00000000" w:rsidRDefault="00000000" w:rsidRPr="00000000" w14:paraId="00000053">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4">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marketing strategy for Scholarly Hive will focus on awareness, engagement, and growth across key academic communities.</w:t>
      </w:r>
    </w:p>
    <w:p w:rsidR="00000000" w:rsidDel="00000000" w:rsidP="00000000" w:rsidRDefault="00000000" w:rsidRPr="00000000" w14:paraId="00000055">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Targeted Digital Advertising:</w:t>
      </w:r>
      <w:r w:rsidDel="00000000" w:rsidR="00000000" w:rsidRPr="00000000">
        <w:rPr>
          <w:rFonts w:ascii="EB Garamond" w:cs="EB Garamond" w:eastAsia="EB Garamond" w:hAnsi="EB Garamond"/>
          <w:sz w:val="24"/>
          <w:szCs w:val="24"/>
          <w:rtl w:val="0"/>
        </w:rPr>
        <w:t xml:space="preserve"> Ads on social media platforms (Facebook, LinkedIn, Instagram) and academic journals will attract professors, students, and institutions. Ads will highlight the unique features of Scholarly Hive, such as course reviews, private messaging, and resource-sharing.</w:t>
      </w:r>
    </w:p>
    <w:p w:rsidR="00000000" w:rsidDel="00000000" w:rsidP="00000000" w:rsidRDefault="00000000" w:rsidRPr="00000000" w14:paraId="00000056">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7">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Partnerships with Universities:</w:t>
      </w:r>
      <w:r w:rsidDel="00000000" w:rsidR="00000000" w:rsidRPr="00000000">
        <w:rPr>
          <w:rFonts w:ascii="EB Garamond" w:cs="EB Garamond" w:eastAsia="EB Garamond" w:hAnsi="EB Garamond"/>
          <w:sz w:val="24"/>
          <w:szCs w:val="24"/>
          <w:rtl w:val="0"/>
        </w:rPr>
        <w:t xml:space="preserve"> Building partnerships with universities and academic organizations to integrate the platform into existing systems (e.g., Learning Management Systems like Blackboard or Canvas).</w:t>
      </w:r>
    </w:p>
    <w:p w:rsidR="00000000" w:rsidDel="00000000" w:rsidP="00000000" w:rsidRDefault="00000000" w:rsidRPr="00000000" w14:paraId="00000058">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9">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Influencer Engagement:</w:t>
      </w:r>
      <w:r w:rsidDel="00000000" w:rsidR="00000000" w:rsidRPr="00000000">
        <w:rPr>
          <w:rFonts w:ascii="EB Garamond" w:cs="EB Garamond" w:eastAsia="EB Garamond" w:hAnsi="EB Garamond"/>
          <w:sz w:val="24"/>
          <w:szCs w:val="24"/>
          <w:rtl w:val="0"/>
        </w:rPr>
        <w:t xml:space="preserve"> Collaborate with academic influencers and thought leaders who can help promote Scholarly Hive to students and faculty.</w:t>
      </w:r>
    </w:p>
    <w:p w:rsidR="00000000" w:rsidDel="00000000" w:rsidP="00000000" w:rsidRDefault="00000000" w:rsidRPr="00000000" w14:paraId="0000005A">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B">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Content Marketing:</w:t>
      </w:r>
      <w:r w:rsidDel="00000000" w:rsidR="00000000" w:rsidRPr="00000000">
        <w:rPr>
          <w:rFonts w:ascii="EB Garamond" w:cs="EB Garamond" w:eastAsia="EB Garamond" w:hAnsi="EB Garamond"/>
          <w:sz w:val="24"/>
          <w:szCs w:val="24"/>
          <w:rtl w:val="0"/>
        </w:rPr>
        <w:t xml:space="preserve"> Regularly publish blogs, webinars, and videos about academic trends, study tips, and platform features to engage the educational community and improve SEO.</w:t>
      </w:r>
    </w:p>
    <w:p w:rsidR="00000000" w:rsidDel="00000000" w:rsidP="00000000" w:rsidRDefault="00000000" w:rsidRPr="00000000" w14:paraId="0000005C">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D">
      <w:pPr>
        <w:pStyle w:val="Heading1"/>
        <w:numPr>
          <w:ilvl w:val="0"/>
          <w:numId w:val="1"/>
        </w:numPr>
        <w:spacing w:line="360" w:lineRule="auto"/>
        <w:ind w:left="720" w:hanging="360"/>
        <w:rPr>
          <w:rFonts w:ascii="EB Garamond" w:cs="EB Garamond" w:eastAsia="EB Garamond" w:hAnsi="EB Garamond"/>
        </w:rPr>
      </w:pPr>
      <w:bookmarkStart w:colFirst="0" w:colLast="0" w:name="_ntnk2xdvmmpj" w:id="5"/>
      <w:bookmarkEnd w:id="5"/>
      <w:r w:rsidDel="00000000" w:rsidR="00000000" w:rsidRPr="00000000">
        <w:rPr>
          <w:rFonts w:ascii="EB Garamond" w:cs="EB Garamond" w:eastAsia="EB Garamond" w:hAnsi="EB Garamond"/>
          <w:rtl w:val="0"/>
        </w:rPr>
        <w:t xml:space="preserve">Organization and Staffing</w:t>
      </w:r>
    </w:p>
    <w:p w:rsidR="00000000" w:rsidDel="00000000" w:rsidP="00000000" w:rsidRDefault="00000000" w:rsidRPr="00000000" w14:paraId="0000005E">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F">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To build and sustain Scholarly Hive, the following roles will be crucial:</w:t>
      </w:r>
    </w:p>
    <w:p w:rsidR="00000000" w:rsidDel="00000000" w:rsidP="00000000" w:rsidRDefault="00000000" w:rsidRPr="00000000" w14:paraId="00000060">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Project Manager:</w:t>
      </w:r>
      <w:r w:rsidDel="00000000" w:rsidR="00000000" w:rsidRPr="00000000">
        <w:rPr>
          <w:rFonts w:ascii="EB Garamond" w:cs="EB Garamond" w:eastAsia="EB Garamond" w:hAnsi="EB Garamond"/>
          <w:sz w:val="24"/>
          <w:szCs w:val="24"/>
          <w:rtl w:val="0"/>
        </w:rPr>
        <w:t xml:space="preserve"> To oversee the project timeline, budget, and team coordination.</w:t>
      </w:r>
    </w:p>
    <w:p w:rsidR="00000000" w:rsidDel="00000000" w:rsidP="00000000" w:rsidRDefault="00000000" w:rsidRPr="00000000" w14:paraId="00000061">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Software Engineers:</w:t>
      </w:r>
      <w:r w:rsidDel="00000000" w:rsidR="00000000" w:rsidRPr="00000000">
        <w:rPr>
          <w:rFonts w:ascii="EB Garamond" w:cs="EB Garamond" w:eastAsia="EB Garamond" w:hAnsi="EB Garamond"/>
          <w:sz w:val="24"/>
          <w:szCs w:val="24"/>
          <w:rtl w:val="0"/>
        </w:rPr>
        <w:t xml:space="preserve"> For frontend and backend development, ensuring the platform is scalable, secure, and user-friendly.</w:t>
      </w:r>
    </w:p>
    <w:p w:rsidR="00000000" w:rsidDel="00000000" w:rsidP="00000000" w:rsidRDefault="00000000" w:rsidRPr="00000000" w14:paraId="00000062">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UX/UI Designers:</w:t>
      </w:r>
      <w:r w:rsidDel="00000000" w:rsidR="00000000" w:rsidRPr="00000000">
        <w:rPr>
          <w:rFonts w:ascii="EB Garamond" w:cs="EB Garamond" w:eastAsia="EB Garamond" w:hAnsi="EB Garamond"/>
          <w:sz w:val="24"/>
          <w:szCs w:val="24"/>
          <w:rtl w:val="0"/>
        </w:rPr>
        <w:t xml:space="preserve"> To design intuitive, accessible user interfaces and optimize the user experience.</w:t>
      </w:r>
    </w:p>
    <w:p w:rsidR="00000000" w:rsidDel="00000000" w:rsidP="00000000" w:rsidRDefault="00000000" w:rsidRPr="00000000" w14:paraId="00000063">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Quality Assurance (QA) Testers:</w:t>
      </w:r>
      <w:r w:rsidDel="00000000" w:rsidR="00000000" w:rsidRPr="00000000">
        <w:rPr>
          <w:rFonts w:ascii="EB Garamond" w:cs="EB Garamond" w:eastAsia="EB Garamond" w:hAnsi="EB Garamond"/>
          <w:sz w:val="24"/>
          <w:szCs w:val="24"/>
          <w:rtl w:val="0"/>
        </w:rPr>
        <w:t xml:space="preserve"> To test the platform’s functionality, performance, and security.</w:t>
      </w:r>
    </w:p>
    <w:p w:rsidR="00000000" w:rsidDel="00000000" w:rsidP="00000000" w:rsidRDefault="00000000" w:rsidRPr="00000000" w14:paraId="00000064">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Marketing Team</w:t>
      </w:r>
      <w:r w:rsidDel="00000000" w:rsidR="00000000" w:rsidRPr="00000000">
        <w:rPr>
          <w:rFonts w:ascii="EB Garamond" w:cs="EB Garamond" w:eastAsia="EB Garamond" w:hAnsi="EB Garamond"/>
          <w:sz w:val="24"/>
          <w:szCs w:val="24"/>
          <w:rtl w:val="0"/>
        </w:rPr>
        <w:t xml:space="preserve">: Responsible for executing the digital marketing strategy, engaging with potential users, and growing the user base.</w:t>
      </w:r>
    </w:p>
    <w:p w:rsidR="00000000" w:rsidDel="00000000" w:rsidP="00000000" w:rsidRDefault="00000000" w:rsidRPr="00000000" w14:paraId="00000065">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Customer Support:</w:t>
      </w:r>
      <w:r w:rsidDel="00000000" w:rsidR="00000000" w:rsidRPr="00000000">
        <w:rPr>
          <w:rFonts w:ascii="EB Garamond" w:cs="EB Garamond" w:eastAsia="EB Garamond" w:hAnsi="EB Garamond"/>
          <w:sz w:val="24"/>
          <w:szCs w:val="24"/>
          <w:rtl w:val="0"/>
        </w:rPr>
        <w:t xml:space="preserve"> To provide ongoing assistance to users, troubleshoot issues, and handle feedback.</w:t>
      </w:r>
    </w:p>
    <w:p w:rsidR="00000000" w:rsidDel="00000000" w:rsidP="00000000" w:rsidRDefault="00000000" w:rsidRPr="00000000" w14:paraId="00000066">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Staffing requirements will grow as the platform develops, but a small, agile team is initially recommended to launch the platform.</w:t>
      </w:r>
    </w:p>
    <w:p w:rsidR="00000000" w:rsidDel="00000000" w:rsidP="00000000" w:rsidRDefault="00000000" w:rsidRPr="00000000" w14:paraId="00000067">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8">
      <w:pPr>
        <w:pStyle w:val="Heading1"/>
        <w:numPr>
          <w:ilvl w:val="0"/>
          <w:numId w:val="1"/>
        </w:numPr>
        <w:spacing w:line="360" w:lineRule="auto"/>
        <w:ind w:left="720" w:hanging="360"/>
        <w:rPr>
          <w:rFonts w:ascii="EB Garamond" w:cs="EB Garamond" w:eastAsia="EB Garamond" w:hAnsi="EB Garamond"/>
        </w:rPr>
      </w:pPr>
      <w:bookmarkStart w:colFirst="0" w:colLast="0" w:name="_7q3uuihzwf4r" w:id="6"/>
      <w:bookmarkEnd w:id="6"/>
      <w:r w:rsidDel="00000000" w:rsidR="00000000" w:rsidRPr="00000000">
        <w:rPr>
          <w:rFonts w:ascii="EB Garamond" w:cs="EB Garamond" w:eastAsia="EB Garamond" w:hAnsi="EB Garamond"/>
          <w:rtl w:val="0"/>
        </w:rPr>
        <w:t xml:space="preserve">Schedule</w:t>
      </w:r>
    </w:p>
    <w:p w:rsidR="00000000" w:rsidDel="00000000" w:rsidP="00000000" w:rsidRDefault="00000000" w:rsidRPr="00000000" w14:paraId="00000069">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A">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proposed development timeline for Scholarly Hive includes key milestones:</w:t>
      </w:r>
    </w:p>
    <w:p w:rsidR="00000000" w:rsidDel="00000000" w:rsidP="00000000" w:rsidRDefault="00000000" w:rsidRPr="00000000" w14:paraId="0000006B">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C">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Phase 1 – Planning and Design (Months 1-3):</w:t>
      </w:r>
    </w:p>
    <w:p w:rsidR="00000000" w:rsidDel="00000000" w:rsidP="00000000" w:rsidRDefault="00000000" w:rsidRPr="00000000" w14:paraId="0000006D">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Requirements gathering, feature prioritization, and wireframing.</w:t>
      </w:r>
    </w:p>
    <w:p w:rsidR="00000000" w:rsidDel="00000000" w:rsidP="00000000" w:rsidRDefault="00000000" w:rsidRPr="00000000" w14:paraId="0000006E">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Initial product prototype development.</w:t>
      </w:r>
    </w:p>
    <w:p w:rsidR="00000000" w:rsidDel="00000000" w:rsidP="00000000" w:rsidRDefault="00000000" w:rsidRPr="00000000" w14:paraId="0000006F">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0">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Phase 2 – Development and Testing (Months 4-9):</w:t>
      </w:r>
    </w:p>
    <w:p w:rsidR="00000000" w:rsidDel="00000000" w:rsidP="00000000" w:rsidRDefault="00000000" w:rsidRPr="00000000" w14:paraId="00000071">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Frontend and backend development, database setup, and integration.</w:t>
      </w:r>
    </w:p>
    <w:p w:rsidR="00000000" w:rsidDel="00000000" w:rsidP="00000000" w:rsidRDefault="00000000" w:rsidRPr="00000000" w14:paraId="00000072">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Alpha and beta testing will be done with select users for feedback.</w:t>
      </w:r>
    </w:p>
    <w:p w:rsidR="00000000" w:rsidDel="00000000" w:rsidP="00000000" w:rsidRDefault="00000000" w:rsidRPr="00000000" w14:paraId="00000073">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4">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Phase 3 – Launch and Marketing (Months 10-12):</w:t>
      </w:r>
    </w:p>
    <w:p w:rsidR="00000000" w:rsidDel="00000000" w:rsidP="00000000" w:rsidRDefault="00000000" w:rsidRPr="00000000" w14:paraId="00000075">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Final testing, bug fixes, and optimization.</w:t>
      </w:r>
    </w:p>
    <w:p w:rsidR="00000000" w:rsidDel="00000000" w:rsidP="00000000" w:rsidRDefault="00000000" w:rsidRPr="00000000" w14:paraId="00000076">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Public launch with digital marketing campaigns.</w:t>
      </w:r>
    </w:p>
    <w:p w:rsidR="00000000" w:rsidDel="00000000" w:rsidP="00000000" w:rsidRDefault="00000000" w:rsidRPr="00000000" w14:paraId="00000077">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8">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Phase 4 – Post-Launch (Ongoing):</w:t>
      </w:r>
    </w:p>
    <w:p w:rsidR="00000000" w:rsidDel="00000000" w:rsidP="00000000" w:rsidRDefault="00000000" w:rsidRPr="00000000" w14:paraId="00000079">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User feedback collection, platform updates, and feature enhancements.</w:t>
      </w:r>
    </w:p>
    <w:p w:rsidR="00000000" w:rsidDel="00000000" w:rsidP="00000000" w:rsidRDefault="00000000" w:rsidRPr="00000000" w14:paraId="0000007A">
      <w:pPr>
        <w:spacing w:line="360" w:lineRule="auto"/>
        <w:rPr>
          <w:rFonts w:ascii="EB Garamond" w:cs="EB Garamond" w:eastAsia="EB Garamond" w:hAnsi="EB Garamon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numPr>
          <w:ilvl w:val="0"/>
          <w:numId w:val="1"/>
        </w:numPr>
        <w:spacing w:line="360" w:lineRule="auto"/>
        <w:ind w:left="720" w:hanging="360"/>
        <w:rPr>
          <w:rFonts w:ascii="EB Garamond" w:cs="EB Garamond" w:eastAsia="EB Garamond" w:hAnsi="EB Garamond"/>
        </w:rPr>
      </w:pPr>
      <w:bookmarkStart w:colFirst="0" w:colLast="0" w:name="_ej9z4mq31rsv" w:id="7"/>
      <w:bookmarkEnd w:id="7"/>
      <w:r w:rsidDel="00000000" w:rsidR="00000000" w:rsidRPr="00000000">
        <w:rPr>
          <w:rFonts w:ascii="EB Garamond" w:cs="EB Garamond" w:eastAsia="EB Garamond" w:hAnsi="EB Garamond"/>
          <w:rtl w:val="0"/>
        </w:rPr>
        <w:t xml:space="preserve">Financial Projections</w:t>
      </w:r>
    </w:p>
    <w:p w:rsidR="00000000" w:rsidDel="00000000" w:rsidP="00000000" w:rsidRDefault="00000000" w:rsidRPr="00000000" w14:paraId="0000007C">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D">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Scholarly Hive is expected to generate revenue through:</w:t>
      </w:r>
    </w:p>
    <w:p w:rsidR="00000000" w:rsidDel="00000000" w:rsidP="00000000" w:rsidRDefault="00000000" w:rsidRPr="00000000" w14:paraId="0000007E">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Subscription Fees:</w:t>
      </w:r>
      <w:r w:rsidDel="00000000" w:rsidR="00000000" w:rsidRPr="00000000">
        <w:rPr>
          <w:rFonts w:ascii="EB Garamond" w:cs="EB Garamond" w:eastAsia="EB Garamond" w:hAnsi="EB Garamond"/>
          <w:sz w:val="24"/>
          <w:szCs w:val="24"/>
          <w:rtl w:val="0"/>
        </w:rPr>
        <w:t xml:space="preserve"> Premium accounts for institutions, professors, and advanced users.</w:t>
      </w:r>
    </w:p>
    <w:p w:rsidR="00000000" w:rsidDel="00000000" w:rsidP="00000000" w:rsidRDefault="00000000" w:rsidRPr="00000000" w14:paraId="0000007F">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Advertising:</w:t>
      </w:r>
      <w:r w:rsidDel="00000000" w:rsidR="00000000" w:rsidRPr="00000000">
        <w:rPr>
          <w:rFonts w:ascii="EB Garamond" w:cs="EB Garamond" w:eastAsia="EB Garamond" w:hAnsi="EB Garamond"/>
          <w:sz w:val="24"/>
          <w:szCs w:val="24"/>
          <w:rtl w:val="0"/>
        </w:rPr>
        <w:t xml:space="preserve"> Academic ads from relevant vendors or institutions.</w:t>
      </w:r>
    </w:p>
    <w:p w:rsidR="00000000" w:rsidDel="00000000" w:rsidP="00000000" w:rsidRDefault="00000000" w:rsidRPr="00000000" w14:paraId="00000080">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Freemium Model:</w:t>
      </w:r>
      <w:r w:rsidDel="00000000" w:rsidR="00000000" w:rsidRPr="00000000">
        <w:rPr>
          <w:rFonts w:ascii="EB Garamond" w:cs="EB Garamond" w:eastAsia="EB Garamond" w:hAnsi="EB Garamond"/>
          <w:sz w:val="24"/>
          <w:szCs w:val="24"/>
          <w:rtl w:val="0"/>
        </w:rPr>
        <w:t xml:space="preserve"> Access to basic features is complimentary, while advanced functionalities, such as increased storage capacity for resources, are available through paid upgrades.</w:t>
      </w:r>
    </w:p>
    <w:p w:rsidR="00000000" w:rsidDel="00000000" w:rsidP="00000000" w:rsidRDefault="00000000" w:rsidRPr="00000000" w14:paraId="00000081">
      <w:pPr>
        <w:spacing w:line="360" w:lineRule="auto"/>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Estimated Revenue and Costs: </w:t>
      </w:r>
    </w:p>
    <w:p w:rsidR="00000000" w:rsidDel="00000000" w:rsidP="00000000" w:rsidRDefault="00000000" w:rsidRPr="00000000" w14:paraId="00000082">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Development Costs: For frontend, backend, and UX/UI design development.</w:t>
      </w:r>
    </w:p>
    <w:p w:rsidR="00000000" w:rsidDel="00000000" w:rsidP="00000000" w:rsidRDefault="00000000" w:rsidRPr="00000000" w14:paraId="00000083">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Marketing Budget: For advertising, partnerships, and content creation.</w:t>
      </w:r>
    </w:p>
    <w:p w:rsidR="00000000" w:rsidDel="00000000" w:rsidP="00000000" w:rsidRDefault="00000000" w:rsidRPr="00000000" w14:paraId="00000084">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Operational Costs: Cloud hosting, security, customer support, and salaries.</w:t>
      </w:r>
    </w:p>
    <w:p w:rsidR="00000000" w:rsidDel="00000000" w:rsidP="00000000" w:rsidRDefault="00000000" w:rsidRPr="00000000" w14:paraId="00000085">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86">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following table displays simulated Revenue Projections for the first 8-years:</w:t>
      </w:r>
    </w:p>
    <w:p w:rsidR="00000000" w:rsidDel="00000000" w:rsidP="00000000" w:rsidRDefault="00000000" w:rsidRPr="00000000" w14:paraId="0000008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Net Income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Year-1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jc w:val="center"/>
              <w:rPr/>
            </w:pPr>
            <w:r w:rsidDel="00000000" w:rsidR="00000000" w:rsidRPr="00000000">
              <w:rPr>
                <w:rtl w:val="0"/>
              </w:rPr>
              <w:t xml:space="preserve">$350,000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center"/>
              <w:rPr/>
            </w:pPr>
            <w:r w:rsidDel="00000000" w:rsidR="00000000" w:rsidRPr="00000000">
              <w:rPr>
                <w:rtl w:val="0"/>
              </w:rPr>
              <w:t xml:space="preserve">$1,035,000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jc w:val="center"/>
              <w:rPr>
                <w:color w:val="d80707"/>
              </w:rPr>
            </w:pPr>
            <w:r w:rsidDel="00000000" w:rsidR="00000000" w:rsidRPr="00000000">
              <w:rPr>
                <w:color w:val="d80707"/>
                <w:rtl w:val="0"/>
              </w:rPr>
              <w:t xml:space="preserve">-$685,000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Year-2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jc w:val="center"/>
              <w:rPr/>
            </w:pPr>
            <w:r w:rsidDel="00000000" w:rsidR="00000000" w:rsidRPr="00000000">
              <w:rPr>
                <w:rtl w:val="0"/>
              </w:rPr>
              <w:t xml:space="preserve">$396,000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jc w:val="center"/>
              <w:rPr/>
            </w:pPr>
            <w:r w:rsidDel="00000000" w:rsidR="00000000" w:rsidRPr="00000000">
              <w:rPr>
                <w:rtl w:val="0"/>
              </w:rPr>
              <w:t xml:space="preserve">$855,000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jc w:val="center"/>
              <w:rPr>
                <w:color w:val="d80707"/>
              </w:rPr>
            </w:pPr>
            <w:r w:rsidDel="00000000" w:rsidR="00000000" w:rsidRPr="00000000">
              <w:rPr>
                <w:color w:val="d80707"/>
                <w:rtl w:val="0"/>
              </w:rPr>
              <w:t xml:space="preserve">-$459,000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Year-3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jc w:val="center"/>
              <w:rPr/>
            </w:pPr>
            <w:r w:rsidDel="00000000" w:rsidR="00000000" w:rsidRPr="00000000">
              <w:rPr>
                <w:rtl w:val="0"/>
              </w:rPr>
              <w:t xml:space="preserve">$495,100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jc w:val="center"/>
              <w:rPr/>
            </w:pPr>
            <w:r w:rsidDel="00000000" w:rsidR="00000000" w:rsidRPr="00000000">
              <w:rPr>
                <w:rtl w:val="0"/>
              </w:rPr>
              <w:t xml:space="preserve">$880,000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jc w:val="center"/>
              <w:rPr>
                <w:color w:val="d80707"/>
              </w:rPr>
            </w:pPr>
            <w:r w:rsidDel="00000000" w:rsidR="00000000" w:rsidRPr="00000000">
              <w:rPr>
                <w:color w:val="d80707"/>
                <w:rtl w:val="0"/>
              </w:rPr>
              <w:t xml:space="preserve">-$384,900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Year-4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jc w:val="center"/>
              <w:rPr/>
            </w:pPr>
            <w:r w:rsidDel="00000000" w:rsidR="00000000" w:rsidRPr="00000000">
              <w:rPr>
                <w:rtl w:val="0"/>
              </w:rPr>
              <w:t xml:space="preserve">$610,400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jc w:val="center"/>
              <w:rPr/>
            </w:pPr>
            <w:r w:rsidDel="00000000" w:rsidR="00000000" w:rsidRPr="00000000">
              <w:rPr>
                <w:rtl w:val="0"/>
              </w:rPr>
              <w:t xml:space="preserve">$940,000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jc w:val="center"/>
              <w:rPr>
                <w:color w:val="d80707"/>
              </w:rPr>
            </w:pPr>
            <w:r w:rsidDel="00000000" w:rsidR="00000000" w:rsidRPr="00000000">
              <w:rPr>
                <w:color w:val="d80707"/>
                <w:rtl w:val="0"/>
              </w:rPr>
              <w:t xml:space="preserve">-$329,600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Year-5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jc w:val="center"/>
              <w:rPr/>
            </w:pPr>
            <w:r w:rsidDel="00000000" w:rsidR="00000000" w:rsidRPr="00000000">
              <w:rPr>
                <w:rtl w:val="0"/>
              </w:rPr>
              <w:t xml:space="preserve">$771,096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jc w:val="center"/>
              <w:rPr/>
            </w:pPr>
            <w:r w:rsidDel="00000000" w:rsidR="00000000" w:rsidRPr="00000000">
              <w:rPr>
                <w:rtl w:val="0"/>
              </w:rPr>
              <w:t xml:space="preserve">$1,030,000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jc w:val="center"/>
              <w:rPr>
                <w:color w:val="d80707"/>
              </w:rPr>
            </w:pPr>
            <w:r w:rsidDel="00000000" w:rsidR="00000000" w:rsidRPr="00000000">
              <w:rPr>
                <w:color w:val="d80707"/>
                <w:rtl w:val="0"/>
              </w:rPr>
              <w:t xml:space="preserve">-$258,904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Year-6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jc w:val="center"/>
              <w:rPr/>
            </w:pPr>
            <w:r w:rsidDel="00000000" w:rsidR="00000000" w:rsidRPr="00000000">
              <w:rPr>
                <w:rtl w:val="0"/>
              </w:rPr>
              <w:t xml:space="preserve">$936,556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jc w:val="center"/>
              <w:rPr/>
            </w:pPr>
            <w:r w:rsidDel="00000000" w:rsidR="00000000" w:rsidRPr="00000000">
              <w:rPr>
                <w:rtl w:val="0"/>
              </w:rPr>
              <w:t xml:space="preserve">$1,070,000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jc w:val="center"/>
              <w:rPr>
                <w:color w:val="d80707"/>
              </w:rPr>
            </w:pPr>
            <w:r w:rsidDel="00000000" w:rsidR="00000000" w:rsidRPr="00000000">
              <w:rPr>
                <w:color w:val="d80707"/>
                <w:rtl w:val="0"/>
              </w:rPr>
              <w:t xml:space="preserve">-$133,444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Year-7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jc w:val="center"/>
              <w:rPr/>
            </w:pPr>
            <w:r w:rsidDel="00000000" w:rsidR="00000000" w:rsidRPr="00000000">
              <w:rPr>
                <w:rtl w:val="0"/>
              </w:rPr>
              <w:t xml:space="preserve">$1,120,606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jc w:val="center"/>
              <w:rPr/>
            </w:pPr>
            <w:r w:rsidDel="00000000" w:rsidR="00000000" w:rsidRPr="00000000">
              <w:rPr>
                <w:rtl w:val="0"/>
              </w:rPr>
              <w:t xml:space="preserve">$1,220,000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jc w:val="center"/>
              <w:rPr>
                <w:color w:val="d80707"/>
              </w:rPr>
            </w:pPr>
            <w:r w:rsidDel="00000000" w:rsidR="00000000" w:rsidRPr="00000000">
              <w:rPr>
                <w:color w:val="d80707"/>
                <w:rtl w:val="0"/>
              </w:rPr>
              <w:t xml:space="preserve">-$99,394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Year-8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jc w:val="center"/>
              <w:rPr/>
            </w:pPr>
            <w:r w:rsidDel="00000000" w:rsidR="00000000" w:rsidRPr="00000000">
              <w:rPr>
                <w:rtl w:val="0"/>
              </w:rPr>
              <w:t xml:space="preserve">$1,490,364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jc w:val="center"/>
              <w:rPr/>
            </w:pPr>
            <w:r w:rsidDel="00000000" w:rsidR="00000000" w:rsidRPr="00000000">
              <w:rPr>
                <w:rtl w:val="0"/>
              </w:rPr>
              <w:t xml:space="preserve">$1,618,500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jc w:val="center"/>
              <w:rPr>
                <w:color w:val="d80707"/>
              </w:rPr>
            </w:pPr>
            <w:r w:rsidDel="00000000" w:rsidR="00000000" w:rsidRPr="00000000">
              <w:rPr>
                <w:color w:val="d80707"/>
                <w:rtl w:val="0"/>
              </w:rPr>
              <w:t xml:space="preserve">-$128,136</w:t>
            </w:r>
          </w:p>
        </w:tc>
      </w:tr>
    </w:tbl>
    <w:p w:rsidR="00000000" w:rsidDel="00000000" w:rsidP="00000000" w:rsidRDefault="00000000" w:rsidRPr="00000000" w14:paraId="000000AC">
      <w:pPr>
        <w:jc w:val="center"/>
        <w:rPr/>
      </w:pPr>
      <w:r w:rsidDel="00000000" w:rsidR="00000000" w:rsidRPr="00000000">
        <w:rPr>
          <w:rtl w:val="0"/>
        </w:rPr>
      </w:r>
    </w:p>
    <w:p w:rsidR="00000000" w:rsidDel="00000000" w:rsidP="00000000" w:rsidRDefault="00000000" w:rsidRPr="00000000" w14:paraId="000000AD">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(Open AI, 2025)</w:t>
      </w:r>
    </w:p>
    <w:p w:rsidR="00000000" w:rsidDel="00000000" w:rsidP="00000000" w:rsidRDefault="00000000" w:rsidRPr="00000000" w14:paraId="000000AE">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AF">
      <w:pPr>
        <w:pStyle w:val="Heading1"/>
        <w:numPr>
          <w:ilvl w:val="0"/>
          <w:numId w:val="1"/>
        </w:numPr>
        <w:spacing w:line="360" w:lineRule="auto"/>
        <w:ind w:left="720" w:hanging="360"/>
        <w:rPr>
          <w:rFonts w:ascii="EB Garamond" w:cs="EB Garamond" w:eastAsia="EB Garamond" w:hAnsi="EB Garamond"/>
        </w:rPr>
      </w:pPr>
      <w:bookmarkStart w:colFirst="0" w:colLast="0" w:name="_v1hs1mrbcsev" w:id="8"/>
      <w:bookmarkEnd w:id="8"/>
      <w:r w:rsidDel="00000000" w:rsidR="00000000" w:rsidRPr="00000000">
        <w:rPr>
          <w:rFonts w:ascii="EB Garamond" w:cs="EB Garamond" w:eastAsia="EB Garamond" w:hAnsi="EB Garamond"/>
          <w:rtl w:val="0"/>
        </w:rPr>
        <w:t xml:space="preserve">Findings and Recommendations</w:t>
      </w:r>
    </w:p>
    <w:p w:rsidR="00000000" w:rsidDel="00000000" w:rsidP="00000000" w:rsidRDefault="00000000" w:rsidRPr="00000000" w14:paraId="000000B0">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B1">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Findings: </w:t>
      </w:r>
      <w:r w:rsidDel="00000000" w:rsidR="00000000" w:rsidRPr="00000000">
        <w:rPr>
          <w:rFonts w:ascii="EB Garamond" w:cs="EB Garamond" w:eastAsia="EB Garamond" w:hAnsi="EB Garamond"/>
          <w:sz w:val="24"/>
          <w:szCs w:val="24"/>
          <w:rtl w:val="0"/>
        </w:rPr>
        <w:t xml:space="preserve">There is an apparent market demand for a platform that combines academic resources, collaboration tools, and course reviews.</w:t>
      </w:r>
    </w:p>
    <w:p w:rsidR="00000000" w:rsidDel="00000000" w:rsidP="00000000" w:rsidRDefault="00000000" w:rsidRPr="00000000" w14:paraId="000000B2">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Security, scalability, and user experience are critical for the platform's success.</w:t>
      </w:r>
    </w:p>
    <w:p w:rsidR="00000000" w:rsidDel="00000000" w:rsidP="00000000" w:rsidRDefault="00000000" w:rsidRPr="00000000" w14:paraId="000000B3">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Competitors provide partial solutions, but none offer a fully integrated academic community with collaboration tools, course reviews, and resource sharing.</w:t>
      </w:r>
    </w:p>
    <w:p w:rsidR="00000000" w:rsidDel="00000000" w:rsidP="00000000" w:rsidRDefault="00000000" w:rsidRPr="00000000" w14:paraId="000000B4">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On the downside, while not surprising, to implement a project of this scale, the overhead costs will require substantial support from donors or new fast revenue-generating methods to sustain the project for the first 10 years of development.</w:t>
      </w:r>
    </w:p>
    <w:p w:rsidR="00000000" w:rsidDel="00000000" w:rsidP="00000000" w:rsidRDefault="00000000" w:rsidRPr="00000000" w14:paraId="000000B5">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B6">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Recommendations:</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To differentiate Scholarly Hive from competitors, prioritize developing key features like course reviews, resource sharing, and private messaging.</w:t>
      </w:r>
    </w:p>
    <w:p w:rsidR="00000000" w:rsidDel="00000000" w:rsidP="00000000" w:rsidRDefault="00000000" w:rsidRPr="00000000" w14:paraId="000000B7">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Focus on partnerships with universities and academic organizations to drive initial user adoption.</w:t>
      </w:r>
    </w:p>
    <w:p w:rsidR="00000000" w:rsidDel="00000000" w:rsidP="00000000" w:rsidRDefault="00000000" w:rsidRPr="00000000" w14:paraId="000000B8">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Invest in continuous user feedback collection to improve and adapt the platform post-launch. More revenue production methods must be implemented and expansion of marketing endeavors. </w:t>
      </w:r>
    </w:p>
    <w:p w:rsidR="00000000" w:rsidDel="00000000" w:rsidP="00000000" w:rsidRDefault="00000000" w:rsidRPr="00000000" w14:paraId="000000B9">
      <w:pPr>
        <w:rPr>
          <w:rFonts w:ascii="EB Garamond" w:cs="EB Garamond" w:eastAsia="EB Garamond" w:hAnsi="EB Garamond"/>
          <w:sz w:val="32"/>
          <w:szCs w:val="32"/>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Baskerville">
    <w:embedRegular w:fontKey="{00000000-0000-0000-0000-000000000000}" r:id="rId5" w:subsetted="0"/>
    <w:embedBold w:fontKey="{00000000-0000-0000-0000-000000000000}" r:id="rId6" w:subsetted="0"/>
    <w:embedItalic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jc w:val="right"/>
      <w:rPr>
        <w:rFonts w:ascii="EB Garamond" w:cs="EB Garamond" w:eastAsia="EB Garamond" w:hAnsi="EB Garamond"/>
      </w:rPr>
    </w:pPr>
    <w:r w:rsidDel="00000000" w:rsidR="00000000" w:rsidRPr="00000000">
      <w:rPr>
        <w:rFonts w:ascii="Libre Baskerville" w:cs="Libre Baskerville" w:eastAsia="Libre Baskerville" w:hAnsi="Libre Baskervill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LibreBaskerville-regular.ttf"/><Relationship Id="rId6" Type="http://schemas.openxmlformats.org/officeDocument/2006/relationships/font" Target="fonts/LibreBaskerville-bold.ttf"/><Relationship Id="rId7"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