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00"/>
        <w:jc w:val="center"/>
        <w:rPr>
          <w:rFonts w:ascii="Times New Roman" w:hAnsi="Times New Roman"/>
          <w:sz w:val="24"/>
          <w:szCs w:val="24"/>
        </w:rPr>
      </w:pPr>
      <w:r>
        <w:rPr>
          <w:rFonts w:eastAsia="Times New Roman" w:ascii="Times New Roman" w:hAnsi="Times New Roman"/>
          <w:b/>
          <w:sz w:val="24"/>
          <w:szCs w:val="24"/>
        </w:rPr>
        <w:t>A PROJECT REPORT ON</w:t>
      </w:r>
    </w:p>
    <w:p>
      <w:pPr>
        <w:pStyle w:val="Normal"/>
        <w:spacing w:lineRule="auto" w:line="360" w:before="160" w:after="400"/>
        <w:jc w:val="center"/>
        <w:rPr>
          <w:rFonts w:ascii="Times New Roman" w:hAnsi="Times New Roman"/>
          <w:sz w:val="28"/>
          <w:szCs w:val="28"/>
        </w:rPr>
      </w:pPr>
      <w:r>
        <w:rPr>
          <w:rFonts w:eastAsia="Times New Roman" w:ascii="Times New Roman" w:hAnsi="Times New Roman"/>
          <w:b/>
          <w:color w:val="0F2B41"/>
          <w:sz w:val="28"/>
          <w:szCs w:val="28"/>
        </w:rPr>
        <w:t xml:space="preserve">SynthGuard: </w:t>
      </w:r>
      <w:r>
        <w:rPr>
          <w:rFonts w:eastAsia="Times New Roman" w:ascii="Times New Roman" w:hAnsi="Times New Roman"/>
          <w:b/>
          <w:color w:val="0F2B41"/>
          <w:sz w:val="28"/>
          <w:szCs w:val="28"/>
        </w:rPr>
        <w:t xml:space="preserve">A </w:t>
      </w:r>
      <w:r>
        <w:rPr>
          <w:rFonts w:eastAsia="Times New Roman" w:ascii="Times New Roman" w:hAnsi="Times New Roman"/>
          <w:b/>
          <w:color w:val="0F2B41"/>
          <w:sz w:val="28"/>
          <w:szCs w:val="28"/>
        </w:rPr>
        <w:t>multi-modal Threat Intelligence and Deepfake Defense System</w:t>
      </w:r>
    </w:p>
    <w:p>
      <w:pPr>
        <w:pStyle w:val="Normal"/>
        <w:spacing w:lineRule="auto" w:line="360" w:before="0" w:after="100"/>
        <w:jc w:val="center"/>
        <w:rPr>
          <w:rFonts w:ascii="Times New Roman" w:hAnsi="Times New Roman"/>
          <w:i w:val="false"/>
          <w:i w:val="false"/>
          <w:iCs w:val="false"/>
        </w:rPr>
      </w:pPr>
      <w:r>
        <w:rPr>
          <w:rFonts w:eastAsia="Times New Roman" w:ascii="Times New Roman" w:hAnsi="Times New Roman"/>
          <w:b/>
          <w:bCs/>
          <w:i w:val="false"/>
          <w:iCs w:val="false"/>
          <w:sz w:val="24"/>
        </w:rPr>
        <w:t>UNDER THE GUIDANCE OF</w:t>
      </w:r>
      <w:r>
        <w:rPr>
          <w:rFonts w:eastAsia="Times New Roman" w:ascii="Times New Roman" w:hAnsi="Times New Roman"/>
          <w:i w:val="false"/>
          <w:iCs w:val="false"/>
          <w:sz w:val="24"/>
        </w:rPr>
        <w:tab/>
      </w:r>
    </w:p>
    <w:p>
      <w:pPr>
        <w:pStyle w:val="Normal"/>
        <w:spacing w:lineRule="auto" w:line="360" w:before="0" w:after="100"/>
        <w:jc w:val="center"/>
        <w:rPr>
          <w:rFonts w:ascii="Times New Roman" w:hAnsi="Times New Roman"/>
          <w:sz w:val="28"/>
          <w:szCs w:val="28"/>
        </w:rPr>
      </w:pPr>
      <w:r>
        <w:rPr>
          <w:rFonts w:eastAsia="Times New Roman" w:ascii="Times New Roman" w:hAnsi="Times New Roman"/>
          <w:b/>
          <w:i w:val="false"/>
          <w:sz w:val="28"/>
          <w:szCs w:val="28"/>
        </w:rPr>
        <w:t>MRS. KRUPA KAMDAR</w:t>
      </w:r>
    </w:p>
    <w:p>
      <w:pPr>
        <w:pStyle w:val="Normal"/>
        <w:spacing w:lineRule="auto" w:line="360" w:before="0" w:after="100"/>
        <w:jc w:val="center"/>
        <w:rPr>
          <w:rFonts w:ascii="Times New Roman" w:hAnsi="Times New Roman"/>
          <w:b/>
          <w:bCs/>
          <w:i w:val="false"/>
          <w:i w:val="false"/>
          <w:iCs w:val="false"/>
        </w:rPr>
      </w:pPr>
      <w:r>
        <w:rPr>
          <w:rFonts w:eastAsia="Times New Roman" w:ascii="Times New Roman" w:hAnsi="Times New Roman"/>
          <w:b/>
          <w:bCs/>
          <w:i w:val="false"/>
          <w:iCs w:val="false"/>
          <w:sz w:val="24"/>
        </w:rPr>
        <w:t>SUBMITTED BY</w:t>
      </w:r>
    </w:p>
    <w:p>
      <w:pPr>
        <w:pStyle w:val="Normal"/>
        <w:spacing w:lineRule="auto" w:line="360" w:before="0" w:after="240"/>
        <w:jc w:val="center"/>
        <w:rPr>
          <w:rFonts w:ascii="Times New Roman" w:hAnsi="Times New Roman"/>
          <w:sz w:val="28"/>
          <w:szCs w:val="28"/>
        </w:rPr>
      </w:pPr>
      <w:r>
        <w:rPr>
          <w:rFonts w:eastAsia="Times New Roman" w:ascii="Times New Roman" w:hAnsi="Times New Roman"/>
          <w:b/>
          <w:sz w:val="28"/>
          <w:szCs w:val="28"/>
          <w:u w:val="single"/>
        </w:rPr>
        <w:t>MR. JAY SHRAVAN KUMAR SHARMA</w:t>
      </w:r>
    </w:p>
    <w:p>
      <w:pPr>
        <w:pStyle w:val="Normal"/>
        <w:spacing w:lineRule="auto" w:line="360" w:before="0" w:after="100"/>
        <w:jc w:val="center"/>
        <w:rPr>
          <w:rFonts w:ascii="Times New Roman" w:hAnsi="Times New Roman"/>
          <w:i w:val="false"/>
          <w:i w:val="false"/>
          <w:iCs w:val="false"/>
          <w:sz w:val="28"/>
          <w:szCs w:val="28"/>
          <w:u w:val="none"/>
        </w:rPr>
      </w:pPr>
      <w:r>
        <w:rPr>
          <w:rFonts w:eastAsia="Times New Roman" w:ascii="Times New Roman" w:hAnsi="Times New Roman"/>
          <w:b/>
          <w:i w:val="false"/>
          <w:iCs w:val="false"/>
          <w:sz w:val="28"/>
          <w:szCs w:val="28"/>
          <w:u w:val="none"/>
        </w:rPr>
        <w:t>ROLL NO TYCS47</w:t>
      </w:r>
    </w:p>
    <w:p>
      <w:pPr>
        <w:pStyle w:val="Normal"/>
        <w:spacing w:before="60" w:after="60"/>
        <w:jc w:val="center"/>
        <w:rPr>
          <w:rFonts w:ascii="Times New Roman" w:hAnsi="Times New Roman"/>
        </w:rPr>
      </w:pPr>
      <w:r>
        <w:rPr>
          <w:rFonts w:ascii="Times New Roman" w:hAnsi="Times New Roman"/>
        </w:rPr>
        <w:drawing>
          <wp:inline distT="0" distB="0" distL="0" distR="0">
            <wp:extent cx="1739265" cy="1554480"/>
            <wp:effectExtent l="0" t="0" r="0" b="0"/>
            <wp:docPr id="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
                    <pic:cNvPicPr>
                      <a:picLocks noChangeAspect="1" noChangeArrowheads="1"/>
                    </pic:cNvPicPr>
                  </pic:nvPicPr>
                  <pic:blipFill>
                    <a:blip r:embed="rId2"/>
                    <a:stretch>
                      <a:fillRect/>
                    </a:stretch>
                  </pic:blipFill>
                  <pic:spPr bwMode="auto">
                    <a:xfrm>
                      <a:off x="0" y="0"/>
                      <a:ext cx="1739265" cy="1554480"/>
                    </a:xfrm>
                    <a:prstGeom prst="rect">
                      <a:avLst/>
                    </a:prstGeom>
                    <a:noFill/>
                  </pic:spPr>
                </pic:pic>
              </a:graphicData>
            </a:graphic>
          </wp:inline>
        </w:drawing>
      </w:r>
    </w:p>
    <w:p>
      <w:pPr>
        <w:pStyle w:val="Normal"/>
        <w:spacing w:before="60" w:after="60"/>
        <w:jc w:val="center"/>
        <w:rPr>
          <w:rFonts w:ascii="Times New Roman" w:hAnsi="Times New Roman"/>
        </w:rPr>
      </w:pPr>
      <w:r>
        <w:rPr>
          <w:rFonts w:ascii="Times New Roman" w:hAnsi="Times New Roman"/>
        </w:rPr>
      </w:r>
    </w:p>
    <w:p>
      <w:pPr>
        <w:pStyle w:val="Normal"/>
        <w:spacing w:lineRule="auto" w:line="360" w:before="0" w:after="100"/>
        <w:jc w:val="center"/>
        <w:rPr>
          <w:rFonts w:ascii="Times New Roman" w:hAnsi="Times New Roman"/>
          <w:sz w:val="24"/>
          <w:szCs w:val="24"/>
        </w:rPr>
      </w:pPr>
      <w:r>
        <w:rPr>
          <w:rFonts w:eastAsia="Times New Roman" w:ascii="Times New Roman" w:hAnsi="Times New Roman"/>
          <w:b/>
          <w:sz w:val="24"/>
          <w:szCs w:val="24"/>
        </w:rPr>
        <w:t>UNIVERSITY OF MUMBAI</w:t>
      </w:r>
    </w:p>
    <w:p>
      <w:pPr>
        <w:pStyle w:val="Normal"/>
        <w:spacing w:lineRule="auto" w:line="360" w:before="0" w:after="80"/>
        <w:jc w:val="center"/>
        <w:rPr>
          <w:rFonts w:ascii="Times New Roman" w:hAnsi="Times New Roman"/>
          <w:sz w:val="24"/>
          <w:szCs w:val="24"/>
        </w:rPr>
      </w:pPr>
      <w:r>
        <w:rPr>
          <w:rFonts w:eastAsia="Times New Roman" w:ascii="Times New Roman" w:hAnsi="Times New Roman"/>
          <w:b/>
          <w:sz w:val="24"/>
          <w:szCs w:val="24"/>
        </w:rPr>
        <w:t xml:space="preserve">T.Y.B.Sc. </w:t>
      </w:r>
      <w:r>
        <w:rPr>
          <w:rFonts w:eastAsia="Times New Roman" w:ascii="Times New Roman" w:hAnsi="Times New Roman"/>
          <w:b/>
          <w:sz w:val="24"/>
          <w:szCs w:val="24"/>
        </w:rPr>
        <w:t xml:space="preserve">C. S. </w:t>
      </w:r>
      <w:r>
        <w:rPr>
          <w:rFonts w:eastAsia="Times New Roman" w:ascii="Times New Roman" w:hAnsi="Times New Roman"/>
          <w:b/>
          <w:sz w:val="24"/>
          <w:szCs w:val="24"/>
        </w:rPr>
        <w:t>(COMPUTER SCIENCE)</w:t>
      </w:r>
    </w:p>
    <w:p>
      <w:pPr>
        <w:pStyle w:val="Normal"/>
        <w:spacing w:lineRule="auto" w:line="360" w:before="0" w:after="100"/>
        <w:jc w:val="center"/>
        <w:rPr>
          <w:rFonts w:ascii="Times New Roman" w:hAnsi="Times New Roman"/>
          <w:sz w:val="24"/>
          <w:szCs w:val="24"/>
        </w:rPr>
      </w:pPr>
      <w:r>
        <w:rPr>
          <w:rFonts w:eastAsia="Times New Roman" w:ascii="Times New Roman" w:hAnsi="Times New Roman"/>
          <w:b/>
          <w:sz w:val="24"/>
          <w:szCs w:val="24"/>
        </w:rPr>
        <w:t>SEMESTER 5</w:t>
      </w:r>
    </w:p>
    <w:p>
      <w:pPr>
        <w:pStyle w:val="Normal"/>
        <w:spacing w:lineRule="auto" w:line="360" w:before="0" w:after="100"/>
        <w:jc w:val="center"/>
        <w:rPr>
          <w:rFonts w:ascii="Times New Roman" w:hAnsi="Times New Roman"/>
          <w:sz w:val="24"/>
          <w:szCs w:val="24"/>
        </w:rPr>
      </w:pPr>
      <w:r>
        <w:rPr>
          <w:rFonts w:eastAsia="Times New Roman" w:ascii="Times New Roman" w:hAnsi="Times New Roman"/>
          <w:b/>
          <w:sz w:val="24"/>
          <w:szCs w:val="24"/>
        </w:rPr>
        <w:t>ACADEMIC YEAR: 2026-2027</w:t>
      </w:r>
    </w:p>
    <w:p>
      <w:pPr>
        <w:pStyle w:val="Normal"/>
        <w:spacing w:before="60" w:after="60"/>
        <w:jc w:val="center"/>
        <w:rPr>
          <w:rFonts w:ascii="Times New Roman" w:hAnsi="Times New Roman"/>
        </w:rPr>
      </w:pPr>
      <w:r>
        <w:rPr>
          <w:rFonts w:ascii="Times New Roman" w:hAnsi="Times New Roman"/>
        </w:rPr>
        <w:drawing>
          <wp:inline distT="0" distB="0" distL="0" distR="0">
            <wp:extent cx="1553210" cy="1355725"/>
            <wp:effectExtent l="0" t="0" r="0" b="0"/>
            <wp:docPr id="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
                    <pic:cNvPicPr>
                      <a:picLocks noChangeAspect="1" noChangeArrowheads="1"/>
                    </pic:cNvPicPr>
                  </pic:nvPicPr>
                  <pic:blipFill>
                    <a:blip r:embed="rId3"/>
                    <a:stretch>
                      <a:fillRect/>
                    </a:stretch>
                  </pic:blipFill>
                  <pic:spPr bwMode="auto">
                    <a:xfrm>
                      <a:off x="0" y="0"/>
                      <a:ext cx="1553210" cy="1355725"/>
                    </a:xfrm>
                    <a:prstGeom prst="rect">
                      <a:avLst/>
                    </a:prstGeom>
                    <a:noFill/>
                  </pic:spPr>
                </pic:pic>
              </a:graphicData>
            </a:graphic>
          </wp:inline>
        </w:drawing>
      </w:r>
    </w:p>
    <w:p>
      <w:pPr>
        <w:pStyle w:val="Normal"/>
        <w:spacing w:before="60" w:after="60"/>
        <w:jc w:val="center"/>
        <w:rPr>
          <w:rFonts w:ascii="Times New Roman" w:hAnsi="Times New Roman"/>
        </w:rPr>
      </w:pPr>
      <w:r>
        <w:rPr>
          <w:rFonts w:ascii="Times New Roman" w:hAnsi="Times New Roman"/>
        </w:rPr>
      </w:r>
    </w:p>
    <w:p>
      <w:pPr>
        <w:pStyle w:val="Normal"/>
        <w:spacing w:lineRule="auto" w:line="360" w:before="0" w:after="100"/>
        <w:jc w:val="center"/>
        <w:rPr>
          <w:rFonts w:ascii="Times New Roman" w:hAnsi="Times New Roman"/>
          <w:sz w:val="28"/>
          <w:szCs w:val="28"/>
        </w:rPr>
      </w:pPr>
      <w:r>
        <w:rPr>
          <w:rFonts w:eastAsia="Times New Roman" w:ascii="Times New Roman" w:hAnsi="Times New Roman"/>
          <w:b/>
          <w:i w:val="false"/>
          <w:sz w:val="28"/>
          <w:szCs w:val="28"/>
        </w:rPr>
        <w:t>D</w:t>
      </w:r>
      <w:r>
        <w:rPr>
          <w:rFonts w:eastAsia="Times New Roman" w:ascii="Times New Roman" w:hAnsi="Times New Roman"/>
          <w:b/>
          <w:i w:val="false"/>
          <w:sz w:val="28"/>
          <w:szCs w:val="28"/>
        </w:rPr>
        <w:t>epartment</w:t>
      </w:r>
      <w:r>
        <w:rPr>
          <w:rFonts w:eastAsia="Times New Roman" w:ascii="Times New Roman" w:hAnsi="Times New Roman"/>
          <w:b/>
          <w:i w:val="false"/>
          <w:sz w:val="28"/>
          <w:szCs w:val="28"/>
        </w:rPr>
        <w:t xml:space="preserve"> </w:t>
      </w:r>
      <w:r>
        <w:rPr>
          <w:rFonts w:eastAsia="Times New Roman" w:ascii="Times New Roman" w:hAnsi="Times New Roman"/>
          <w:b/>
          <w:i w:val="false"/>
          <w:sz w:val="28"/>
          <w:szCs w:val="28"/>
        </w:rPr>
        <w:t>of</w:t>
      </w:r>
      <w:r>
        <w:rPr>
          <w:rFonts w:eastAsia="Times New Roman" w:ascii="Times New Roman" w:hAnsi="Times New Roman"/>
          <w:b/>
          <w:i w:val="false"/>
          <w:sz w:val="28"/>
          <w:szCs w:val="28"/>
        </w:rPr>
        <w:t xml:space="preserve"> C</w:t>
      </w:r>
      <w:r>
        <w:rPr>
          <w:rFonts w:eastAsia="Times New Roman" w:ascii="Times New Roman" w:hAnsi="Times New Roman"/>
          <w:b/>
          <w:i w:val="false"/>
          <w:sz w:val="28"/>
          <w:szCs w:val="28"/>
        </w:rPr>
        <w:t>omputer</w:t>
      </w:r>
      <w:r>
        <w:rPr>
          <w:rFonts w:eastAsia="Times New Roman" w:ascii="Times New Roman" w:hAnsi="Times New Roman"/>
          <w:b/>
          <w:i w:val="false"/>
          <w:sz w:val="28"/>
          <w:szCs w:val="28"/>
        </w:rPr>
        <w:t xml:space="preserve"> S</w:t>
      </w:r>
      <w:r>
        <w:rPr>
          <w:rFonts w:eastAsia="Times New Roman" w:ascii="Times New Roman" w:hAnsi="Times New Roman"/>
          <w:b/>
          <w:i w:val="false"/>
          <w:sz w:val="28"/>
          <w:szCs w:val="28"/>
        </w:rPr>
        <w:t>cience</w:t>
      </w:r>
    </w:p>
    <w:p>
      <w:pPr>
        <w:pStyle w:val="Normal"/>
        <w:spacing w:lineRule="auto" w:line="360" w:before="0" w:after="100"/>
        <w:jc w:val="center"/>
        <w:rPr>
          <w:rFonts w:ascii="Times New Roman" w:hAnsi="Times New Roman"/>
          <w:sz w:val="28"/>
          <w:szCs w:val="28"/>
        </w:rPr>
      </w:pPr>
      <w:r>
        <w:rPr>
          <w:rFonts w:eastAsia="Times New Roman" w:ascii="Times New Roman" w:hAnsi="Times New Roman"/>
          <w:b/>
          <w:sz w:val="28"/>
          <w:szCs w:val="28"/>
        </w:rPr>
        <w:t>BHARATIYA VIDYA BHAVAN’S</w:t>
      </w:r>
    </w:p>
    <w:p>
      <w:pPr>
        <w:pStyle w:val="Normal"/>
        <w:spacing w:lineRule="auto" w:line="360" w:before="0" w:after="100"/>
        <w:jc w:val="center"/>
        <w:rPr>
          <w:rFonts w:ascii="Times New Roman" w:hAnsi="Times New Roman"/>
          <w:sz w:val="28"/>
          <w:szCs w:val="28"/>
        </w:rPr>
      </w:pPr>
      <w:r>
        <w:rPr>
          <w:rFonts w:eastAsia="Times New Roman" w:ascii="Times New Roman" w:hAnsi="Times New Roman"/>
          <w:b/>
          <w:sz w:val="28"/>
          <w:szCs w:val="28"/>
        </w:rPr>
        <w:t>BHAVAN’S COLLEGE (EMPOWERED AUTONOMOUS),</w:t>
        <w:br/>
        <w:t>ANDHERI (W), MUMBAI 400058</w:t>
      </w:r>
      <w:r>
        <w:br w:type="page"/>
      </w:r>
    </w:p>
    <w:p>
      <w:pPr>
        <w:pStyle w:val="Normal"/>
        <w:spacing w:lineRule="auto" w:line="276" w:before="0" w:after="100"/>
        <w:jc w:val="center"/>
        <w:rPr>
          <w:rFonts w:ascii="Times New Roman" w:hAnsi="Times New Roman" w:eastAsia="Times New Roman"/>
          <w:b/>
          <w:sz w:val="28"/>
          <w:szCs w:val="28"/>
        </w:rPr>
      </w:pPr>
      <w:r>
        <w:rPr>
          <w:rFonts w:eastAsia="Times New Roman" w:ascii="Times New Roman" w:hAnsi="Times New Roman"/>
          <w:b/>
          <w:sz w:val="28"/>
          <w:szCs w:val="28"/>
        </w:rPr>
        <w:t>BHARATIYA VIDYA BHAVAN’S</w:t>
      </w:r>
    </w:p>
    <w:p>
      <w:pPr>
        <w:pStyle w:val="Normal"/>
        <w:spacing w:lineRule="auto" w:line="276" w:before="0" w:after="100"/>
        <w:jc w:val="center"/>
        <w:rPr>
          <w:rFonts w:ascii="Times New Roman" w:hAnsi="Times New Roman" w:eastAsia="Times New Roman"/>
          <w:b/>
          <w:sz w:val="28"/>
          <w:szCs w:val="28"/>
        </w:rPr>
      </w:pPr>
      <w:r>
        <w:rPr>
          <w:rFonts w:eastAsia="Times New Roman" w:ascii="Times New Roman" w:hAnsi="Times New Roman"/>
          <w:b/>
          <w:sz w:val="28"/>
          <w:szCs w:val="28"/>
        </w:rPr>
        <w:br/>
        <w:t>BHAVAN’S COLLEGE (EMPOWERED AUTONOMOUS),</w:t>
        <w:br/>
        <w:t>ANDHERI (W), MUMBAI 400058</w:t>
      </w:r>
    </w:p>
    <w:p>
      <w:pPr>
        <w:pStyle w:val="Normal"/>
        <w:spacing w:lineRule="auto" w:line="276" w:before="0" w:after="100"/>
        <w:jc w:val="center"/>
        <w:rPr>
          <w:rFonts w:ascii="Times New Roman" w:hAnsi="Times New Roman" w:eastAsia="Times New Roman"/>
          <w:b/>
          <w:sz w:val="28"/>
          <w:szCs w:val="28"/>
        </w:rPr>
      </w:pPr>
      <w:r>
        <w:rPr>
          <w:rFonts w:eastAsia="Times New Roman" w:ascii="Times New Roman" w:hAnsi="Times New Roman"/>
          <w:b/>
          <w:sz w:val="28"/>
          <w:szCs w:val="28"/>
        </w:rPr>
        <w:br/>
      </w:r>
      <w:r>
        <w:rPr>
          <w:rFonts w:eastAsia="Times New Roman" w:ascii="Times New Roman" w:hAnsi="Times New Roman"/>
          <w:b/>
          <w:sz w:val="28"/>
          <w:szCs w:val="28"/>
        </w:rPr>
        <w:t>Department of Computer Science</w:t>
      </w:r>
    </w:p>
    <w:p>
      <w:pPr>
        <w:pStyle w:val="Normal"/>
        <w:spacing w:lineRule="auto" w:line="276" w:before="0" w:after="100"/>
        <w:jc w:val="center"/>
        <w:rPr>
          <w:rFonts w:ascii="Times New Roman" w:hAnsi="Times New Roman" w:eastAsia="Times New Roman"/>
          <w:b/>
          <w:sz w:val="28"/>
          <w:szCs w:val="28"/>
        </w:rPr>
      </w:pPr>
      <w:r>
        <w:rPr>
          <w:rFonts w:eastAsia="Times New Roman" w:ascii="Times New Roman" w:hAnsi="Times New Roman"/>
          <w:b/>
          <w:sz w:val="28"/>
          <w:szCs w:val="28"/>
        </w:rPr>
      </w:r>
    </w:p>
    <w:p>
      <w:pPr>
        <w:pStyle w:val="Normal"/>
        <w:spacing w:before="60" w:after="60"/>
        <w:jc w:val="center"/>
        <w:rPr>
          <w:rFonts w:ascii="Times New Roman" w:hAnsi="Times New Roman"/>
        </w:rPr>
      </w:pPr>
      <w:r>
        <w:rPr>
          <w:rFonts w:ascii="Times New Roman" w:hAnsi="Times New Roman"/>
        </w:rPr>
        <w:drawing>
          <wp:inline distT="0" distB="0" distL="0" distR="0">
            <wp:extent cx="1386840" cy="121031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1386840" cy="1210310"/>
                    </a:xfrm>
                    <a:prstGeom prst="rect">
                      <a:avLst/>
                    </a:prstGeom>
                    <a:noFill/>
                  </pic:spPr>
                </pic:pic>
              </a:graphicData>
            </a:graphic>
          </wp:inline>
        </w:drawing>
      </w:r>
    </w:p>
    <w:p>
      <w:pPr>
        <w:pStyle w:val="Normal"/>
        <w:spacing w:before="60" w:after="60"/>
        <w:jc w:val="center"/>
        <w:rPr>
          <w:rFonts w:ascii="Times New Roman" w:hAnsi="Times New Roman"/>
        </w:rPr>
      </w:pPr>
      <w:r>
        <w:rPr>
          <w:rFonts w:ascii="Times New Roman" w:hAnsi="Times New Roman"/>
        </w:rPr>
      </w:r>
    </w:p>
    <w:p>
      <w:pPr>
        <w:pStyle w:val="Normal"/>
        <w:jc w:val="center"/>
        <w:rPr>
          <w:rFonts w:ascii="Times New Roman" w:hAnsi="Times New Roman"/>
          <w:b/>
          <w:sz w:val="32"/>
          <w:u w:val="single"/>
        </w:rPr>
      </w:pPr>
      <w:r>
        <w:rPr>
          <w:rFonts w:ascii="Times New Roman" w:hAnsi="Times New Roman"/>
          <w:b/>
          <w:sz w:val="32"/>
          <w:u w:val="single"/>
        </w:rPr>
        <w:t>CERTIFICATE</w:t>
      </w:r>
    </w:p>
    <w:p>
      <w:pPr>
        <w:pStyle w:val="Normal"/>
        <w:jc w:val="center"/>
        <w:rPr>
          <w:rFonts w:ascii="Times New Roman" w:hAnsi="Times New Roman"/>
          <w:b/>
          <w:sz w:val="32"/>
          <w:u w:val="single"/>
        </w:rPr>
      </w:pPr>
      <w:r>
        <w:rPr>
          <w:rFonts w:ascii="Times New Roman" w:hAnsi="Times New Roman"/>
          <w:b/>
          <w:sz w:val="32"/>
          <w:u w:val="single"/>
        </w:rPr>
      </w:r>
    </w:p>
    <w:p>
      <w:pPr>
        <w:pStyle w:val="Normal"/>
        <w:spacing w:lineRule="auto" w:line="360" w:before="0" w:after="100"/>
        <w:rPr>
          <w:rFonts w:ascii="Times New Roman" w:hAnsi="Times New Roman"/>
        </w:rPr>
      </w:pPr>
      <w:r>
        <w:rPr>
          <w:rFonts w:eastAsia="Times New Roman" w:ascii="Times New Roman" w:hAnsi="Times New Roman"/>
          <w:i w:val="false"/>
          <w:sz w:val="24"/>
        </w:rPr>
        <w:t xml:space="preserve">This is to certify that Mr. / </w:t>
      </w:r>
      <w:r>
        <w:rPr>
          <w:rFonts w:eastAsia="Times New Roman" w:ascii="Times New Roman" w:hAnsi="Times New Roman"/>
          <w:i w:val="false"/>
          <w:sz w:val="24"/>
        </w:rPr>
        <w:t xml:space="preserve">Ms. </w:t>
      </w:r>
      <w:r>
        <w:rPr>
          <w:rFonts w:eastAsia="Times New Roman" w:ascii="Times New Roman" w:hAnsi="Times New Roman"/>
          <w:b/>
          <w:bCs/>
          <w:i w:val="false"/>
          <w:sz w:val="24"/>
        </w:rPr>
        <w:t>Jay Shravan Kumar Sharma</w:t>
      </w:r>
      <w:r>
        <w:rPr>
          <w:rFonts w:eastAsia="Times New Roman" w:ascii="Times New Roman" w:hAnsi="Times New Roman"/>
          <w:i w:val="false"/>
          <w:sz w:val="24"/>
        </w:rPr>
        <w:t xml:space="preserve"> of </w:t>
      </w:r>
      <w:r>
        <w:rPr>
          <w:rFonts w:eastAsia="Times New Roman" w:ascii="Times New Roman" w:hAnsi="Times New Roman"/>
          <w:b/>
          <w:bCs/>
          <w:i w:val="false"/>
          <w:sz w:val="24"/>
        </w:rPr>
        <w:t>T.Y.B.Sc.</w:t>
      </w:r>
      <w:r>
        <w:rPr>
          <w:rFonts w:eastAsia="Times New Roman" w:ascii="Times New Roman" w:hAnsi="Times New Roman"/>
          <w:b/>
          <w:bCs/>
          <w:i w:val="false"/>
          <w:sz w:val="24"/>
        </w:rPr>
        <w:t>C.S.</w:t>
      </w:r>
      <w:r>
        <w:rPr>
          <w:rFonts w:eastAsia="Times New Roman" w:ascii="Times New Roman" w:hAnsi="Times New Roman"/>
          <w:b w:val="false"/>
          <w:bCs w:val="false"/>
          <w:i w:val="false"/>
          <w:sz w:val="24"/>
        </w:rPr>
        <w:t>,</w:t>
      </w:r>
      <w:r>
        <w:rPr>
          <w:rFonts w:eastAsia="Times New Roman" w:ascii="Times New Roman" w:hAnsi="Times New Roman"/>
          <w:b/>
          <w:bCs/>
          <w:i w:val="false"/>
          <w:sz w:val="24"/>
        </w:rPr>
        <w:t xml:space="preserve"> SEM 5</w:t>
      </w:r>
      <w:r>
        <w:rPr>
          <w:rFonts w:eastAsia="Times New Roman" w:ascii="Times New Roman" w:hAnsi="Times New Roman"/>
          <w:i w:val="false"/>
          <w:sz w:val="24"/>
        </w:rPr>
        <w:t xml:space="preserve">, Roll No: </w:t>
      </w:r>
      <w:r>
        <w:rPr>
          <w:rFonts w:eastAsia="Times New Roman" w:ascii="Times New Roman" w:hAnsi="Times New Roman"/>
          <w:b/>
          <w:bCs/>
          <w:i w:val="false"/>
          <w:sz w:val="24"/>
        </w:rPr>
        <w:t>TYCS47</w:t>
      </w:r>
      <w:r>
        <w:rPr>
          <w:rFonts w:eastAsia="Times New Roman" w:ascii="Times New Roman" w:hAnsi="Times New Roman"/>
          <w:i w:val="false"/>
          <w:sz w:val="24"/>
        </w:rPr>
        <w:t xml:space="preserve"> has satisfactorily completed the Project SynthGuard: A multi-modal Threat Intelligence and Deepfake Defense System to be submitted in the partial fulfilment for the award of Bachelor of Science in Computer Science during the academic year 2026–2027.</w:t>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eastAsia="Times New Roman" w:ascii="Times New Roman" w:hAnsi="Times New Roman"/>
          <w:b/>
          <w:bCs/>
          <w:i w:val="false"/>
          <w:sz w:val="24"/>
        </w:rPr>
        <w:t>Date of Submission:</w:t>
      </w:r>
      <w:r>
        <w:rPr>
          <w:rFonts w:eastAsia="Times New Roman" w:ascii="Times New Roman" w:hAnsi="Times New Roman"/>
          <w:i w:val="false"/>
          <w:sz w:val="24"/>
        </w:rPr>
        <w:t xml:space="preserve"> 21/10/2026</w:t>
      </w:r>
    </w:p>
    <w:p>
      <w:pPr>
        <w:pStyle w:val="Normal"/>
        <w:spacing w:lineRule="auto" w:line="360" w:before="0" w:after="100"/>
        <w:rPr>
          <w:rFonts w:ascii="Times New Roman" w:hAnsi="Times New Roman"/>
        </w:rPr>
      </w:pPr>
      <w:r>
        <w:rPr>
          <w:rFonts w:eastAsia="Times New Roman" w:ascii="Times New Roman" w:hAnsi="Times New Roman"/>
          <w:b/>
          <w:bCs/>
          <w:i w:val="false"/>
          <w:sz w:val="24"/>
        </w:rPr>
        <w:t>Project Guide Name:</w:t>
      </w:r>
      <w:r>
        <w:rPr>
          <w:rFonts w:eastAsia="Times New Roman" w:ascii="Times New Roman" w:hAnsi="Times New Roman"/>
          <w:i w:val="false"/>
          <w:sz w:val="24"/>
        </w:rPr>
        <w:t xml:space="preserve"> Mrs. Krupa Kamdar</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b/>
          <w:bCs/>
          <w:i w:val="false"/>
          <w:sz w:val="24"/>
        </w:rPr>
        <w:t>Project Guide Signature:</w:t>
      </w:r>
      <w:r>
        <w:rPr>
          <w:rFonts w:eastAsia="Times New Roman" w:ascii="Times New Roman" w:hAnsi="Times New Roman"/>
          <w:i w:val="false"/>
          <w:sz w:val="24"/>
        </w:rPr>
        <w:t xml:space="preserve"> ______________________________</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t xml:space="preserve">Head / In charge, </w:t>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t>Department of Computer Science, Data Science &amp; AI</w:t>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r>
    </w:p>
    <w:p>
      <w:pPr>
        <w:pStyle w:val="Normal"/>
        <w:spacing w:lineRule="auto" w:line="360" w:before="0" w:after="100"/>
        <w:rPr>
          <w:rFonts w:ascii="Times New Roman" w:hAnsi="Times New Roman"/>
        </w:rPr>
      </w:pPr>
      <w:r>
        <w:rPr>
          <w:rFonts w:eastAsia="Times New Roman" w:ascii="Times New Roman" w:hAnsi="Times New Roman"/>
          <w:b/>
          <w:bCs/>
          <w:i w:val="false"/>
          <w:sz w:val="24"/>
        </w:rPr>
        <w:t>College Seal Signature of Examiner:</w:t>
      </w:r>
      <w:r>
        <w:rPr>
          <w:rFonts w:eastAsia="Times New Roman" w:ascii="Times New Roman" w:hAnsi="Times New Roman"/>
          <w:i w:val="false"/>
          <w:sz w:val="24"/>
        </w:rPr>
        <w:t xml:space="preserve"> ______________________________</w:t>
      </w:r>
      <w:r>
        <w:br w:type="page"/>
      </w:r>
    </w:p>
    <w:p>
      <w:pPr>
        <w:pStyle w:val="Normal"/>
        <w:spacing w:lineRule="auto" w:line="259" w:before="0" w:after="100"/>
        <w:jc w:val="center"/>
        <w:rPr>
          <w:rFonts w:ascii="Times New Roman" w:hAnsi="Times New Roman" w:eastAsia="Times New Roman"/>
          <w:b/>
          <w:sz w:val="36"/>
          <w:u w:val="single"/>
        </w:rPr>
      </w:pPr>
      <w:r>
        <w:rPr>
          <w:rFonts w:eastAsia="Times New Roman" w:ascii="Times New Roman" w:hAnsi="Times New Roman"/>
          <w:b/>
          <w:sz w:val="36"/>
          <w:u w:val="single"/>
        </w:rPr>
      </w:r>
    </w:p>
    <w:p>
      <w:pPr>
        <w:pStyle w:val="Normal"/>
        <w:spacing w:lineRule="auto" w:line="360" w:before="0" w:after="100"/>
        <w:jc w:val="center"/>
        <w:rPr>
          <w:rFonts w:ascii="Times New Roman" w:hAnsi="Times New Roman" w:eastAsia="Times New Roman"/>
          <w:b/>
          <w:sz w:val="36"/>
          <w:u w:val="single"/>
        </w:rPr>
      </w:pPr>
      <w:r>
        <w:rPr>
          <w:rFonts w:eastAsia="Times New Roman" w:ascii="Times New Roman" w:hAnsi="Times New Roman"/>
          <w:b/>
          <w:sz w:val="36"/>
          <w:u w:val="single"/>
        </w:rPr>
        <w:t>DECLARATION</w:t>
      </w:r>
    </w:p>
    <w:p>
      <w:pPr>
        <w:pStyle w:val="Normal"/>
        <w:spacing w:lineRule="auto" w:line="360" w:before="0" w:after="100"/>
        <w:jc w:val="center"/>
        <w:rPr>
          <w:rFonts w:ascii="Times New Roman" w:hAnsi="Times New Roman" w:eastAsia="Times New Roman"/>
          <w:b/>
          <w:sz w:val="36"/>
          <w:u w:val="single"/>
        </w:rPr>
      </w:pPr>
      <w:r>
        <w:rPr>
          <w:rFonts w:eastAsia="Times New Roman" w:ascii="Times New Roman" w:hAnsi="Times New Roman"/>
          <w:b/>
          <w:sz w:val="36"/>
          <w:u w:val="single"/>
        </w:rPr>
      </w:r>
    </w:p>
    <w:p>
      <w:pPr>
        <w:pStyle w:val="Normal"/>
        <w:spacing w:lineRule="auto" w:line="480" w:before="0" w:after="100"/>
        <w:rPr>
          <w:rFonts w:ascii="Times New Roman" w:hAnsi="Times New Roman"/>
        </w:rPr>
      </w:pPr>
      <w:r>
        <w:rPr>
          <w:rFonts w:eastAsia="Times New Roman" w:ascii="Times New Roman" w:hAnsi="Times New Roman"/>
          <w:i w:val="false"/>
          <w:sz w:val="24"/>
        </w:rPr>
        <w:t xml:space="preserve">I, </w:t>
      </w:r>
      <w:r>
        <w:rPr>
          <w:rFonts w:eastAsia="Times New Roman" w:ascii="Times New Roman" w:hAnsi="Times New Roman"/>
          <w:b/>
          <w:bCs/>
          <w:i w:val="false"/>
          <w:sz w:val="24"/>
          <w:u w:val="single"/>
        </w:rPr>
        <w:t>Jay Shravan Kumar Sharma</w:t>
      </w:r>
      <w:r>
        <w:rPr>
          <w:rFonts w:eastAsia="Times New Roman" w:ascii="Times New Roman" w:hAnsi="Times New Roman"/>
          <w:i w:val="false"/>
          <w:sz w:val="24"/>
        </w:rPr>
        <w:t xml:space="preserve">, hereby declare that the project entitled </w:t>
      </w:r>
      <w:r>
        <w:rPr>
          <w:rFonts w:eastAsia="Times New Roman" w:ascii="Times New Roman" w:hAnsi="Times New Roman"/>
          <w:b/>
          <w:bCs/>
          <w:i w:val="false"/>
          <w:sz w:val="24"/>
        </w:rPr>
        <w:t>“SynthGuard: A multi-modal Threat Intelligence and Deepfake Defense System”</w:t>
      </w:r>
      <w:r>
        <w:rPr>
          <w:rFonts w:eastAsia="Times New Roman" w:ascii="Times New Roman" w:hAnsi="Times New Roman"/>
          <w:i w:val="false"/>
          <w:sz w:val="24"/>
        </w:rPr>
        <w:t xml:space="preserve"> submitted in the partial fulfilment for the award of </w:t>
      </w:r>
      <w:r>
        <w:rPr>
          <w:rFonts w:eastAsia="Times New Roman" w:ascii="Times New Roman" w:hAnsi="Times New Roman"/>
          <w:b/>
          <w:bCs/>
          <w:i w:val="false"/>
          <w:sz w:val="24"/>
        </w:rPr>
        <w:t>Bachelor of Science in Computer Science</w:t>
      </w:r>
      <w:r>
        <w:rPr>
          <w:rFonts w:eastAsia="Times New Roman" w:ascii="Times New Roman" w:hAnsi="Times New Roman"/>
          <w:i w:val="false"/>
          <w:sz w:val="24"/>
        </w:rPr>
        <w:t xml:space="preserve"> during the academic year </w:t>
      </w:r>
      <w:r>
        <w:rPr>
          <w:rFonts w:eastAsia="Times New Roman" w:ascii="Times New Roman" w:hAnsi="Times New Roman"/>
          <w:b/>
          <w:bCs/>
          <w:i w:val="false"/>
          <w:sz w:val="24"/>
        </w:rPr>
        <w:t>2026–2027</w:t>
      </w:r>
      <w:r>
        <w:rPr>
          <w:rFonts w:eastAsia="Times New Roman" w:ascii="Times New Roman" w:hAnsi="Times New Roman"/>
          <w:i w:val="false"/>
          <w:sz w:val="24"/>
        </w:rPr>
        <w:t xml:space="preserve"> is my original work and the project has not formed the basis for the award of any degree, associateship, fellowship or any other similar titles.</w:t>
      </w:r>
    </w:p>
    <w:p>
      <w:pPr>
        <w:pStyle w:val="Normal"/>
        <w:spacing w:lineRule="auto" w:line="48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b/>
          <w:bCs/>
        </w:rPr>
      </w:pPr>
      <w:r>
        <w:rPr>
          <w:rFonts w:eastAsia="Times New Roman" w:ascii="Times New Roman" w:hAnsi="Times New Roman"/>
          <w:b/>
          <w:bCs/>
          <w:i w:val="false"/>
          <w:sz w:val="24"/>
        </w:rPr>
        <w:t xml:space="preserve">Signature of the Student: </w:t>
      </w:r>
      <w:r>
        <w:rPr>
          <w:rFonts w:eastAsia="Times New Roman" w:ascii="Times New Roman" w:hAnsi="Times New Roman"/>
          <w:b w:val="false"/>
          <w:bCs w:val="false"/>
          <w:i w:val="false"/>
          <w:sz w:val="24"/>
        </w:rPr>
        <w:t>__________________________</w:t>
      </w:r>
    </w:p>
    <w:p>
      <w:pPr>
        <w:pStyle w:val="Normal"/>
        <w:spacing w:lineRule="auto" w:line="360" w:before="0" w:after="100"/>
        <w:rPr>
          <w:rFonts w:ascii="Times New Roman" w:hAnsi="Times New Roman"/>
          <w:b/>
          <w:bCs/>
        </w:rPr>
      </w:pPr>
      <w:r>
        <w:rPr>
          <w:rFonts w:eastAsia="Times New Roman" w:ascii="Times New Roman" w:hAnsi="Times New Roman"/>
          <w:b/>
          <w:bCs/>
          <w:i w:val="false"/>
          <w:sz w:val="24"/>
        </w:rPr>
        <w:t xml:space="preserve">Place: </w:t>
      </w:r>
      <w:r>
        <w:rPr>
          <w:rFonts w:eastAsia="Times New Roman" w:ascii="Times New Roman" w:hAnsi="Times New Roman"/>
          <w:b w:val="false"/>
          <w:bCs w:val="false"/>
          <w:i w:val="false"/>
          <w:sz w:val="24"/>
        </w:rPr>
        <w:t>Mumbai</w:t>
      </w:r>
    </w:p>
    <w:p>
      <w:pPr>
        <w:pStyle w:val="Normal"/>
        <w:spacing w:lineRule="auto" w:line="360" w:before="0" w:after="100"/>
        <w:rPr>
          <w:rFonts w:ascii="Times New Roman" w:hAnsi="Times New Roman"/>
          <w:b/>
          <w:bCs/>
        </w:rPr>
      </w:pPr>
      <w:r>
        <w:rPr>
          <w:rFonts w:eastAsia="Times New Roman" w:ascii="Times New Roman" w:hAnsi="Times New Roman"/>
          <w:b/>
          <w:bCs/>
          <w:i w:val="false"/>
          <w:sz w:val="24"/>
        </w:rPr>
        <w:t xml:space="preserve">Date: </w:t>
      </w:r>
      <w:r>
        <w:rPr>
          <w:rFonts w:eastAsia="Times New Roman" w:ascii="Times New Roman" w:hAnsi="Times New Roman"/>
          <w:b w:val="false"/>
          <w:bCs w:val="false"/>
          <w:i w:val="false"/>
          <w:sz w:val="24"/>
        </w:rPr>
        <w:t>21/10/2026</w:t>
      </w:r>
      <w:r>
        <w:br w:type="page"/>
      </w:r>
    </w:p>
    <w:p>
      <w:pPr>
        <w:pStyle w:val="Heading1"/>
        <w:spacing w:before="0" w:after="80"/>
        <w:jc w:val="center"/>
        <w:rPr>
          <w:rFonts w:ascii="Times New Roman" w:hAnsi="Times New Roman" w:eastAsia="Times New Roman"/>
        </w:rPr>
      </w:pPr>
      <w:r>
        <w:rPr>
          <w:rFonts w:eastAsia="Times New Roman" w:ascii="Times New Roman" w:hAnsi="Times New Roman"/>
        </w:rPr>
        <w:t>ACKNOWLEDG</w:t>
      </w:r>
      <w:r>
        <w:rPr>
          <w:rFonts w:eastAsia="Times New Roman" w:ascii="Times New Roman" w:hAnsi="Times New Roman"/>
        </w:rPr>
        <w:t>E</w:t>
      </w:r>
      <w:r>
        <w:rPr>
          <w:rFonts w:eastAsia="Times New Roman" w:ascii="Times New Roman" w:hAnsi="Times New Roman"/>
        </w:rPr>
        <w:t>MENT</w:t>
      </w:r>
    </w:p>
    <w:p>
      <w:pPr>
        <w:pStyle w:val="Normal"/>
        <w:spacing w:before="0" w:after="80"/>
        <w:rPr>
          <w:rFonts w:ascii="Times New Roman" w:hAnsi="Times New Roman" w:eastAsia="Times New Roman"/>
        </w:rPr>
      </w:pPr>
      <w:r>
        <w:rPr>
          <w:rFonts w:eastAsia="Times New Roman" w:ascii="Times New Roman" w:hAnsi="Times New Roman"/>
        </w:rPr>
      </w:r>
    </w:p>
    <w:p>
      <w:pPr>
        <w:pStyle w:val="Normal"/>
        <w:spacing w:before="0" w:after="80"/>
        <w:rPr>
          <w:rFonts w:ascii="Times New Roman" w:hAnsi="Times New Roman" w:eastAsia="Times New Roman"/>
        </w:rPr>
      </w:pPr>
      <w:r>
        <w:rPr>
          <w:rFonts w:eastAsia="Times New Roman" w:ascii="Times New Roman" w:hAnsi="Times New Roman"/>
        </w:rPr>
      </w:r>
    </w:p>
    <w:p>
      <w:pPr>
        <w:pStyle w:val="Normal"/>
        <w:spacing w:lineRule="auto" w:line="360" w:before="0" w:after="100"/>
        <w:jc w:val="left"/>
        <w:rPr>
          <w:rFonts w:ascii="Times New Roman" w:hAnsi="Times New Roman" w:eastAsia="Times New Roman"/>
          <w:sz w:val="24"/>
        </w:rPr>
      </w:pPr>
      <w:r>
        <w:rPr>
          <w:rFonts w:eastAsia="Times New Roman" w:ascii="Times New Roman" w:hAnsi="Times New Roman"/>
          <w:sz w:val="24"/>
        </w:rPr>
        <w:t>I would like to express my sincere gratitude towards the Computer Science Department of Bhavan’s College.</w:t>
      </w:r>
    </w:p>
    <w:p>
      <w:pPr>
        <w:pStyle w:val="Normal"/>
        <w:spacing w:lineRule="auto" w:line="360" w:before="0" w:after="100"/>
        <w:jc w:val="left"/>
        <w:rPr>
          <w:rFonts w:ascii="Times New Roman" w:hAnsi="Times New Roman" w:eastAsia="Times New Roman"/>
          <w:sz w:val="24"/>
        </w:rPr>
      </w:pPr>
      <w:r>
        <w:rPr>
          <w:rFonts w:eastAsia="Times New Roman" w:ascii="Times New Roman" w:hAnsi="Times New Roman"/>
          <w:sz w:val="24"/>
        </w:rPr>
      </w:r>
    </w:p>
    <w:p>
      <w:pPr>
        <w:pStyle w:val="Normal"/>
        <w:spacing w:lineRule="auto" w:line="360" w:before="0" w:after="100"/>
        <w:jc w:val="left"/>
        <w:rPr>
          <w:rFonts w:ascii="Times New Roman" w:hAnsi="Times New Roman"/>
        </w:rPr>
      </w:pPr>
      <w:r>
        <w:rPr>
          <w:rFonts w:ascii="Times New Roman" w:hAnsi="Times New Roman"/>
        </w:rPr>
        <w:t>After months of hard work, finally I am very happy to present my SEM 5 Project. The Project making was full of new experiences and learning and difficult one too. Though a difficult job it was made simpler by the timely guidance received, which helped me greatly in the completion of my project. But it wouldn’t be right to do so without thanking to those who have helped me in converting our thought into reality. So, I would like to take full advantage of this opportunity to thank each and every person who has helped me throughout the completion of our project.</w:t>
      </w:r>
    </w:p>
    <w:p>
      <w:pPr>
        <w:pStyle w:val="Normal"/>
        <w:spacing w:lineRule="auto" w:line="360" w:before="0" w:after="100"/>
        <w:jc w:val="left"/>
        <w:rPr>
          <w:rFonts w:ascii="Times New Roman" w:hAnsi="Times New Roman"/>
        </w:rPr>
      </w:pPr>
      <w:r>
        <w:rPr>
          <w:rFonts w:ascii="Times New Roman" w:hAnsi="Times New Roman"/>
        </w:rPr>
      </w:r>
    </w:p>
    <w:p>
      <w:pPr>
        <w:pStyle w:val="Normal"/>
        <w:spacing w:lineRule="auto" w:line="360" w:before="0" w:after="100"/>
        <w:jc w:val="left"/>
        <w:rPr>
          <w:rFonts w:ascii="Times New Roman" w:hAnsi="Times New Roman"/>
        </w:rPr>
      </w:pPr>
      <w:r>
        <w:rPr>
          <w:rFonts w:ascii="Times New Roman" w:hAnsi="Times New Roman"/>
        </w:rPr>
        <w:t xml:space="preserve">I am obliged to my parents &amp; family members who always support me greatly and encouraged me in each and every step. I give my special thanks and sincere gratitude towards the </w:t>
      </w:r>
    </w:p>
    <w:p>
      <w:pPr>
        <w:pStyle w:val="Normal"/>
        <w:spacing w:lineRule="auto" w:line="360" w:before="0" w:after="100"/>
        <w:jc w:val="left"/>
        <w:rPr>
          <w:rFonts w:ascii="Times New Roman" w:hAnsi="Times New Roman"/>
        </w:rPr>
      </w:pPr>
      <w:r>
        <w:rPr>
          <w:rFonts w:ascii="Times New Roman" w:hAnsi="Times New Roman"/>
        </w:rPr>
        <w:t xml:space="preserve">Principal Dr. Savita K. Pawar and Head of Department (Computer Science, Data Science &amp; AI) </w:t>
      </w:r>
    </w:p>
    <w:p>
      <w:pPr>
        <w:pStyle w:val="Normal"/>
        <w:spacing w:lineRule="auto" w:line="360" w:before="0" w:after="100"/>
        <w:jc w:val="left"/>
        <w:rPr>
          <w:rFonts w:ascii="Times New Roman" w:hAnsi="Times New Roman"/>
        </w:rPr>
      </w:pPr>
      <w:r>
        <w:rPr>
          <w:rFonts w:ascii="Times New Roman" w:hAnsi="Times New Roman"/>
        </w:rPr>
        <w:t>Prof. Mrs. Krupa Kamdar. I owe my sincere thanks to our Project guide Ms. Krupa Kamdar for her constant support and encouragement without which the successful completion of this project would have been impossible. They have been instrumental for making me concentrate and focus my effort in this project.</w:t>
      </w:r>
    </w:p>
    <w:p>
      <w:pPr>
        <w:pStyle w:val="Normal"/>
        <w:spacing w:lineRule="auto" w:line="360" w:before="0" w:after="100"/>
        <w:jc w:val="left"/>
        <w:rPr>
          <w:rFonts w:ascii="Times New Roman" w:hAnsi="Times New Roman"/>
        </w:rPr>
      </w:pPr>
      <w:r>
        <w:rPr>
          <w:rFonts w:ascii="Times New Roman" w:hAnsi="Times New Roman"/>
        </w:rPr>
      </w:r>
    </w:p>
    <w:p>
      <w:pPr>
        <w:pStyle w:val="Normal"/>
        <w:spacing w:lineRule="auto" w:line="360" w:before="0" w:after="100"/>
        <w:jc w:val="left"/>
        <w:rPr>
          <w:rFonts w:ascii="Times New Roman" w:hAnsi="Times New Roman"/>
        </w:rPr>
      </w:pPr>
      <w:r>
        <w:rPr>
          <w:rFonts w:ascii="Times New Roman" w:hAnsi="Times New Roman"/>
        </w:rPr>
        <w:t>I would like to give thanks to my friends for helping me in my project. Finally, I would like to thank each and every individual who was directly or indirectly contributing for the completion of this project.</w:t>
      </w:r>
    </w:p>
    <w:p>
      <w:pPr>
        <w:pStyle w:val="Normal"/>
        <w:spacing w:lineRule="auto" w:line="360" w:before="0" w:after="100"/>
        <w:jc w:val="center"/>
        <w:rPr>
          <w:rFonts w:ascii="Times New Roman" w:hAnsi="Times New Roman"/>
        </w:rPr>
      </w:pPr>
      <w:r>
        <w:rPr>
          <w:rFonts w:ascii="Times New Roman" w:hAnsi="Times New Roman"/>
        </w:rPr>
      </w:r>
    </w:p>
    <w:p>
      <w:pPr>
        <w:pStyle w:val="Normal"/>
        <w:spacing w:lineRule="auto" w:line="360" w:before="0" w:after="100"/>
        <w:jc w:val="center"/>
        <w:rPr>
          <w:rFonts w:ascii="Times New Roman" w:hAnsi="Times New Roman"/>
        </w:rPr>
      </w:pPr>
      <w:r>
        <w:rPr>
          <w:rFonts w:ascii="Times New Roman" w:hAnsi="Times New Roman"/>
        </w:rPr>
      </w:r>
    </w:p>
    <w:p>
      <w:pPr>
        <w:pStyle w:val="Normal"/>
        <w:spacing w:lineRule="auto" w:line="360" w:before="0" w:after="100"/>
        <w:jc w:val="right"/>
        <w:rPr>
          <w:rFonts w:ascii="Times New Roman" w:hAnsi="Times New Roman"/>
          <w:b/>
          <w:bCs/>
          <w:sz w:val="26"/>
          <w:szCs w:val="26"/>
        </w:rPr>
      </w:pPr>
      <w:r>
        <w:rPr>
          <w:rFonts w:ascii="Times New Roman" w:hAnsi="Times New Roman"/>
          <w:b/>
          <w:bCs/>
          <w:sz w:val="26"/>
          <w:szCs w:val="26"/>
        </w:rPr>
        <w:t>-Thank You</w:t>
      </w:r>
      <w:r>
        <w:br w:type="page"/>
      </w:r>
    </w:p>
    <w:p>
      <w:pPr>
        <w:pStyle w:val="Normal"/>
        <w:spacing w:lineRule="auto" w:line="259" w:before="0" w:after="100"/>
        <w:jc w:val="center"/>
        <w:rPr>
          <w:rFonts w:ascii="Times New Roman" w:hAnsi="Times New Roman" w:eastAsia="Times New Roman"/>
          <w:b/>
          <w:sz w:val="28"/>
          <w:szCs w:val="28"/>
        </w:rPr>
      </w:pPr>
      <w:r>
        <w:rPr>
          <w:rFonts w:eastAsia="Times New Roman" w:ascii="Times New Roman" w:hAnsi="Times New Roman"/>
          <w:b/>
          <w:sz w:val="28"/>
          <w:szCs w:val="28"/>
        </w:rPr>
        <w:t>TABLE OF CONTENTS</w:t>
      </w:r>
    </w:p>
    <w:p>
      <w:pPr>
        <w:pStyle w:val="Normal"/>
        <w:spacing w:lineRule="auto" w:line="259" w:before="0" w:after="100"/>
        <w:jc w:val="center"/>
        <w:rPr>
          <w:rFonts w:ascii="Times New Roman" w:hAnsi="Times New Roman" w:eastAsia="Times New Roman"/>
          <w:b/>
          <w:sz w:val="28"/>
          <w:szCs w:val="28"/>
        </w:rPr>
      </w:pPr>
      <w:r>
        <w:rPr>
          <w:rFonts w:eastAsia="Times New Roman" w:ascii="Times New Roman" w:hAnsi="Times New Roman"/>
          <w:b/>
          <w:sz w:val="28"/>
          <w:szCs w:val="28"/>
        </w:rPr>
      </w:r>
    </w:p>
    <w:tbl>
      <w:tblPr>
        <w:tblW w:w="936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583"/>
        <w:gridCol w:w="6696"/>
        <w:gridCol w:w="1081"/>
      </w:tblGrid>
      <w:tr>
        <w:trPr>
          <w:tblHeader w:val="true"/>
        </w:trPr>
        <w:tc>
          <w:tcPr>
            <w:tcW w:w="1583"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Chapter</w:t>
            </w:r>
          </w:p>
        </w:tc>
        <w:tc>
          <w:tcPr>
            <w:tcW w:w="669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Title</w:t>
            </w:r>
          </w:p>
        </w:tc>
        <w:tc>
          <w:tcPr>
            <w:tcW w:w="1081"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Page</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center"/>
              <w:rPr>
                <w:rFonts w:eastAsia="Times New Roman"/>
                <w:b w:val="false"/>
                <w:sz w:val="24"/>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Title page</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1</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center"/>
              <w:rPr>
                <w:rFonts w:ascii="Times New Roman" w:hAnsi="Times New Roman"/>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Certificate</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2</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center"/>
              <w:rPr>
                <w:rFonts w:ascii="Times New Roman" w:hAnsi="Times New Roman"/>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Declaration</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3</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Acknowledgement</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center"/>
              <w:rPr>
                <w:rFonts w:ascii="Times New Roman" w:hAnsi="Times New Roman"/>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Table of contents</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5</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1</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ABSTRACT AND KEYWORDS</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6</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2</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INTRODUCTION</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7</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3</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LITERATURE REVIEW</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9</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4</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RESEARCH METHODOLOGY</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11</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5</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ANALYSIS AND PROPOSED WORK</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14</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6</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IMPLEMENTATION AND DEVELOPMENT</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17</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7</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RESULTS AND DISCUSSION</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20</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8</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RESEARCH PAPER</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22</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9</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PLAGIARISM AND SIMILARITY REPORT</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25</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10</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CONCLUSION LIMITATIONS AND FUTURE SCOPE</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26</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11</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REFERENCES AND BIBLIOGRAPHY</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28</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12</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APPENDICES AND OPERATIONAL GUIDES</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29</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E</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Analyst interface reference</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31</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F</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Local API reference</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34</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eastAsia="Times New Roman"/>
                <w:sz w:val="24"/>
              </w:rPr>
            </w:pPr>
            <w:r>
              <w:rPr>
                <w:rFonts w:eastAsia="Times New Roman" w:ascii="Times New Roman" w:hAnsi="Times New Roman"/>
                <w:sz w:val="24"/>
              </w:rPr>
              <w:t>Appendix G</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Deployment and operator runbook</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36</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H</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Model and evaluation evidence register</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38</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I</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Reproducible evaluation protocol</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40</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J</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Privacy, security, and limitations</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42</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K</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Analyst user guide</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44</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L</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Maintenance and acceptance checklist</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45</w:t>
            </w:r>
          </w:p>
        </w:tc>
      </w:tr>
    </w:tbl>
    <w:p>
      <w:pPr>
        <w:pStyle w:val="Normal"/>
        <w:keepNext w:val="true"/>
        <w:spacing w:lineRule="auto" w:line="360" w:before="0" w:after="240"/>
        <w:rPr>
          <w:rFonts w:ascii="Times New Roman" w:hAnsi="Times New Roman"/>
          <w:sz w:val="24"/>
          <w:szCs w:val="24"/>
        </w:rPr>
      </w:pPr>
      <w:r>
        <w:br w:type="page"/>
      </w:r>
      <w:r>
        <w:rPr>
          <w:rFonts w:eastAsia="Times New Roman" w:ascii="Times New Roman" w:hAnsi="Times New Roman"/>
          <w:b/>
          <w:color w:val="102C43"/>
          <w:sz w:val="24"/>
          <w:szCs w:val="24"/>
        </w:rPr>
        <w:t>CHAPTER 1  ABSTRACT AND KEYWORDS</w:t>
      </w:r>
    </w:p>
    <w:p>
      <w:pPr>
        <w:pStyle w:val="Heading2"/>
        <w:spacing w:lineRule="auto" w:line="360"/>
        <w:rPr>
          <w:rFonts w:ascii="Times New Roman" w:hAnsi="Times New Roman"/>
          <w:sz w:val="24"/>
          <w:szCs w:val="24"/>
        </w:rPr>
      </w:pPr>
      <w:r>
        <w:rPr>
          <w:rFonts w:ascii="Times New Roman" w:hAnsi="Times New Roman"/>
          <w:sz w:val="24"/>
          <w:szCs w:val="24"/>
        </w:rPr>
        <w:t>1.1 Abstract</w:t>
      </w:r>
    </w:p>
    <w:p>
      <w:pPr>
        <w:pStyle w:val="Normal"/>
        <w:spacing w:lineRule="auto" w:line="360" w:before="0" w:after="100"/>
        <w:rPr>
          <w:rFonts w:ascii="Times New Roman" w:hAnsi="Times New Roman"/>
          <w:sz w:val="24"/>
          <w:szCs w:val="24"/>
        </w:rPr>
      </w:pPr>
      <w:r>
        <w:rPr>
          <w:rFonts w:eastAsia="Times New Roman" w:ascii="Times New Roman" w:hAnsi="Times New Roman"/>
          <w:i w:val="false"/>
          <w:sz w:val="24"/>
          <w:szCs w:val="24"/>
        </w:rPr>
        <w:t>SynthGuard is a locally deployable threat-analysis prototype that examines phishing-related email text, synthetic-speech indicators, and manipulated-face video evidence through three independent model paths. A FastAPI service loads local checkpoints and returns modality scores. A late-fusion function combines available scores using equal nominal weights, with a high-confidence audio or video veto; a React and TypeScript interface supports single-modality and multi-modal analysis. The browser can retain lightweight report metadata in local storage and generate a PDF locally. The project implements a DistilBERT email classifier, an MFCC-based convolutional audio classifier, and an EfficientNet-B0 video classifier preceded by MTCNN face detection. A current-checkpoint email diagnostic re-score covers 3,508 examples and an audio reconstructed split re-score covers 500; their lineage and grouping limitations prevent unqualified held-out claims. No verified video or paired fusion metrics are available. The report documents implementation and evidence status without repeating the historical 99.1% fusion figure as a result.</w:t>
      </w:r>
    </w:p>
    <w:p>
      <w:pPr>
        <w:pStyle w:val="Heading2"/>
        <w:spacing w:lineRule="auto" w:line="360"/>
        <w:rPr>
          <w:rFonts w:ascii="Times New Roman" w:hAnsi="Times New Roman"/>
          <w:sz w:val="24"/>
          <w:szCs w:val="24"/>
        </w:rPr>
      </w:pPr>
      <w:r>
        <w:rPr>
          <w:rFonts w:ascii="Times New Roman" w:hAnsi="Times New Roman"/>
          <w:sz w:val="24"/>
          <w:szCs w:val="24"/>
        </w:rPr>
        <w:t>1.2 Keywords</w:t>
      </w:r>
    </w:p>
    <w:p>
      <w:pPr>
        <w:pStyle w:val="Normal"/>
        <w:spacing w:lineRule="auto" w:line="360" w:before="0" w:after="100"/>
        <w:rPr>
          <w:rFonts w:ascii="Times New Roman" w:hAnsi="Times New Roman"/>
          <w:sz w:val="24"/>
          <w:szCs w:val="24"/>
        </w:rPr>
      </w:pPr>
      <w:r>
        <w:rPr>
          <w:rFonts w:eastAsia="Times New Roman" w:ascii="Times New Roman" w:hAnsi="Times New Roman"/>
          <w:i w:val="false"/>
          <w:sz w:val="24"/>
          <w:szCs w:val="24"/>
        </w:rPr>
        <w:t>Phishing detection, Business Email Compromise, DistilBERT, speech spoofing, MFCC, deepfake video, EfficientNet-B0, MTCNN, late fusion, local inference, forensic reporting.</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2  INTRODUCTION</w:t>
      </w:r>
    </w:p>
    <w:p>
      <w:pPr>
        <w:pStyle w:val="Heading2"/>
        <w:spacing w:lineRule="auto" w:line="360"/>
        <w:rPr>
          <w:rFonts w:ascii="Times New Roman" w:hAnsi="Times New Roman"/>
        </w:rPr>
      </w:pPr>
      <w:r>
        <w:rPr>
          <w:rFonts w:ascii="Times New Roman" w:hAnsi="Times New Roman"/>
        </w:rPr>
        <w:t>2.1 Background and Context</w:t>
      </w:r>
    </w:p>
    <w:p>
      <w:pPr>
        <w:pStyle w:val="Normal"/>
        <w:spacing w:lineRule="auto" w:line="360" w:before="0" w:after="100"/>
        <w:rPr>
          <w:rFonts w:ascii="Times New Roman" w:hAnsi="Times New Roman"/>
        </w:rPr>
      </w:pPr>
      <w:r>
        <w:rPr>
          <w:rFonts w:eastAsia="Times New Roman" w:ascii="Times New Roman" w:hAnsi="Times New Roman"/>
          <w:i w:val="false"/>
          <w:sz w:val="24"/>
        </w:rPr>
        <w:t>Digital attacks increasingly combine ordinary messages with impersonation and synthetic media. A fraudulent payment request may arrive as text, be reinforced by a cloned voice message, or be accompanied by manipulated video. Each channel exposes different evidence: language models examine content, audio models examine speech features, and visual models examine facial regions. A single detector cannot directly represent all of these signals.</w:t>
      </w:r>
      <w:r>
        <w:rPr>
          <w:rFonts w:ascii="Times New Roman" w:hAnsi="Times New Roman"/>
        </w:rPr>
        <w:t xml:space="preserve"> The practical challenge is not only to detect suspicious content, but to interpret evidence that arrives through different channels. A text model may identify urgency or payment language; an acoustic model can score speech artifacts; and a visual model can inspect sampled facial regions. These signals have different input formats, failure modes, and score distributions. A multi-modal interface therefore needs to show which sensors actually ran, what each returned, and how the combined result was produced. Without those details, a single final number can hide missing or failed inputs.</w:t>
      </w:r>
    </w:p>
    <w:p>
      <w:pPr>
        <w:pStyle w:val="Normal"/>
        <w:spacing w:lineRule="auto" w:line="360" w:before="0" w:after="100"/>
        <w:rPr>
          <w:rFonts w:ascii="Times New Roman" w:hAnsi="Times New Roman"/>
        </w:rPr>
      </w:pPr>
      <w:r>
        <w:rPr>
          <w:rFonts w:eastAsia="Times New Roman" w:ascii="Times New Roman" w:hAnsi="Times New Roman"/>
          <w:i w:val="false"/>
          <w:sz w:val="24"/>
        </w:rPr>
        <w:t>SynthGuard was developed as a student research prototype that connects separate text, audio, and video detectors to a shared analysis workflow. The application is designed to run its inference models locally behind a FastAPI service, with a React interface for submitting evidence and inspecting scores. The system aims to give an analyst a compact, explainable view of model outputs rather than to make an autonomous financial or security decision.</w:t>
      </w:r>
      <w:r>
        <w:rPr>
          <w:rFonts w:ascii="Times New Roman" w:hAnsi="Times New Roman"/>
        </w:rPr>
        <w:t xml:space="preserve"> The system is structured as a local analyst workflow rather than a hosted consumer service. A React and TypeScript interface collects evidence and presents model outputs; FastAPI validates requests and routes them to model-specific inference functions; and the model files are loaded from the project’s local directories. This division keeps the user interface independent from model implementation and lets the backend expose each sensor separately as well as through a combined endpoint. The report focuses on the behavior implemented in the repository and distinguishes it from performance claims that would require stronger evaluation evidence.</w:t>
      </w:r>
    </w:p>
    <w:p>
      <w:pPr>
        <w:pStyle w:val="Heading2"/>
        <w:spacing w:lineRule="auto" w:line="360"/>
        <w:rPr>
          <w:rFonts w:ascii="Times New Roman" w:hAnsi="Times New Roman"/>
        </w:rPr>
      </w:pPr>
      <w:r>
        <w:rPr>
          <w:rFonts w:ascii="Times New Roman" w:hAnsi="Times New Roman"/>
        </w:rPr>
        <w:t>2.2 Problem Statement</w:t>
      </w:r>
    </w:p>
    <w:p>
      <w:pPr>
        <w:pStyle w:val="Normal"/>
        <w:spacing w:lineRule="auto" w:line="360" w:before="0" w:after="100"/>
        <w:rPr>
          <w:rFonts w:ascii="Times New Roman" w:hAnsi="Times New Roman"/>
        </w:rPr>
      </w:pPr>
      <w:r>
        <w:rPr>
          <w:rFonts w:eastAsia="Times New Roman" w:ascii="Times New Roman" w:hAnsi="Times New Roman"/>
          <w:i w:val="false"/>
          <w:sz w:val="24"/>
        </w:rPr>
        <w:t>Standalone detectors produce modality-specific outputs and may fail when an attack moves across channels or when one model is uncertain. Analysts also need to understand which sensors processed successfully, how the final score was formed, and what evidence contributed to the verdict. SynthGuard addresses the integration problem by providing separate modality paths, a shared score interface, a rule-based fusion function, and a local reporting workflow. Its current evaluation evidence does not yet establish that fusion improves detection accuracy on real paired attacks.</w:t>
      </w:r>
      <w:r>
        <w:rPr>
          <w:rFonts w:ascii="Times New Roman" w:hAnsi="Times New Roman"/>
        </w:rPr>
        <w:t xml:space="preserve"> The integration problem includes operational transparency as well as score aggregation. An analyst must be able to distinguish a sensor that was not supplied from one that failed during processing, since those states have different meanings. Each score must remain associated with its modality and model path, and a fusion result should be interpretable in terms of the inputs that contributed to it. The prototype addresses these requirements through per-modality status fields and a documented aggregation rule. It does not assume that integrating three detectors automatically improves their predictive accuracy.</w:t>
      </w:r>
    </w:p>
    <w:p>
      <w:pPr>
        <w:pStyle w:val="Heading2"/>
        <w:spacing w:lineRule="auto" w:line="360"/>
        <w:rPr>
          <w:rFonts w:ascii="Times New Roman" w:hAnsi="Times New Roman"/>
        </w:rPr>
      </w:pPr>
      <w:r>
        <w:rPr>
          <w:rFonts w:ascii="Times New Roman" w:hAnsi="Times New Roman"/>
        </w:rPr>
        <w:t>2.3 Aim</w:t>
      </w:r>
    </w:p>
    <w:p>
      <w:pPr>
        <w:pStyle w:val="Normal"/>
        <w:spacing w:lineRule="auto" w:line="360" w:before="0" w:after="100"/>
        <w:rPr>
          <w:rFonts w:ascii="Times New Roman" w:hAnsi="Times New Roman"/>
        </w:rPr>
      </w:pPr>
      <w:r>
        <w:rPr>
          <w:rFonts w:eastAsia="Times New Roman" w:ascii="Times New Roman" w:hAnsi="Times New Roman"/>
          <w:i w:val="false"/>
          <w:sz w:val="24"/>
        </w:rPr>
        <w:t>To design and implement a local multi-modal analysis prototype that accepts email, audio, and video evidence, runs specialized local detectors, combines available scores through a documented late-fusion rule, and presents the output in an analyst-oriented interface.</w:t>
      </w:r>
    </w:p>
    <w:p>
      <w:pPr>
        <w:pStyle w:val="Heading2"/>
        <w:spacing w:lineRule="auto" w:line="360"/>
        <w:rPr>
          <w:rFonts w:ascii="Times New Roman" w:hAnsi="Times New Roman"/>
        </w:rPr>
      </w:pPr>
      <w:r>
        <w:rPr>
          <w:rFonts w:ascii="Times New Roman" w:hAnsi="Times New Roman"/>
        </w:rPr>
        <w:t>2.4 Objectives</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1. Integrate a locally loaded DistilBERT classifier for phishing-related email text.</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2. Implement audio spoof scoring using MFCC features and a convolutional neural network.</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3. Implement video face-region scoring using MTCNN and an EfficientNet-B0 classifier.</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4. Combine sensor scores with equal-weight dynamic fusion and a high-confidence biometric veto.</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5. Expose analysis and health endpoints through a local FastAPI backend.</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6. Provide a React interface with modality status, threat indicators, report history, and client-side PDF export.</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7. Document the limits of available evaluation evidence and define a reproducible paired-scenario benchmark process.</w:t>
      </w:r>
    </w:p>
    <w:p>
      <w:pPr>
        <w:pStyle w:val="Heading2"/>
        <w:spacing w:lineRule="auto" w:line="360"/>
        <w:rPr>
          <w:rFonts w:ascii="Times New Roman" w:hAnsi="Times New Roman"/>
        </w:rPr>
      </w:pPr>
      <w:r>
        <w:rPr>
          <w:rFonts w:ascii="Times New Roman" w:hAnsi="Times New Roman"/>
        </w:rPr>
        <w:t>2.5 Scope of the Study</w:t>
      </w:r>
    </w:p>
    <w:p>
      <w:pPr>
        <w:pStyle w:val="Normal"/>
        <w:spacing w:lineRule="auto" w:line="360" w:before="0" w:after="100"/>
        <w:rPr>
          <w:rFonts w:ascii="Times New Roman" w:hAnsi="Times New Roman"/>
        </w:rPr>
      </w:pPr>
      <w:r>
        <w:rPr>
          <w:rFonts w:eastAsia="Times New Roman" w:ascii="Times New Roman" w:hAnsi="Times New Roman"/>
          <w:i w:val="false"/>
          <w:sz w:val="24"/>
        </w:rPr>
        <w:t>The implementation scope covers three input modalities and a browser-based analyst interface. The email path accepts text. The audio path accepts supported audio files and extracts fixed-length MFCC features. The video path samples frames, detects faces, and averages up to five face-region model scores. The multi-modal endpoint accepts any subset of email text, audio, and video; unavailable or failed modalities are reported in the response. The project does not include a validated enterprise mail gateway, active response, identity verification, financial transaction control, or independent human review workflow.</w:t>
      </w:r>
      <w:r>
        <w:rPr>
          <w:rFonts w:ascii="Times New Roman" w:hAnsi="Times New Roman"/>
        </w:rPr>
        <w:t xml:space="preserve"> The implementation accepts email text, supported audio uploads, and supported video uploads, either individually or in a multi-modal request. Email text is tokenized for the local transformer. Audio is decoded and converted to a fixed MFCC tensor before CNN inference. Video frames are sampled, face regions are detected, and selected crops are scored. The application returns an analysis identifier, sensor scores, status information, and explanatory indicators, while its browser interface can retain lightweight report metadata and create a PDF on the client. The project does not include user authentication, a server-side case-management database, or a verified network air gap.</w:t>
      </w:r>
    </w:p>
    <w:p>
      <w:pPr>
        <w:pStyle w:val="Heading2"/>
        <w:spacing w:lineRule="auto" w:line="360"/>
        <w:rPr>
          <w:rFonts w:ascii="Times New Roman" w:hAnsi="Times New Roman"/>
        </w:rPr>
      </w:pPr>
      <w:r>
        <w:rPr>
          <w:rFonts w:ascii="Times New Roman" w:hAnsi="Times New Roman"/>
        </w:rPr>
        <w:t>2.6 Motivation and Contribution</w:t>
      </w:r>
    </w:p>
    <w:p>
      <w:pPr>
        <w:pStyle w:val="Normal"/>
        <w:spacing w:lineRule="auto" w:line="360" w:before="0" w:after="100"/>
        <w:rPr>
          <w:rFonts w:ascii="Times New Roman" w:hAnsi="Times New Roman"/>
        </w:rPr>
      </w:pPr>
      <w:r>
        <w:rPr>
          <w:rFonts w:eastAsia="Times New Roman" w:ascii="Times New Roman" w:hAnsi="Times New Roman"/>
          <w:i w:val="false"/>
          <w:sz w:val="24"/>
        </w:rPr>
        <w:t>The project brings a small set of independently trained detectors into one local investigation flow and makes the fusion rule visible and inspectable. Its contribution is primarily an implemented prototype and an evaluation design, not a claim of state-of-the-art accuracy. The most important research contribution still to be completed is a properly split, source-linked multi-modal test set that allows all seven non-empty sensor subsets to be compared without manufacturing unrelated cross-modal pairs.</w:t>
      </w:r>
      <w:r>
        <w:rPr>
          <w:rFonts w:ascii="Times New Roman" w:hAnsi="Times New Roman"/>
        </w:rPr>
        <w:t xml:space="preserve"> The project contribution is consequently bounded and concrete. It demonstrates an end-to-end local software path for three modalities, a common response structure, an explicit missing-sensor policy, and a browser-facing report workflow. It also records why evaluation lineage matters: a score can be recomputed from a saved file without proving that the file was held out from model training or selection. This distinction makes the current output more useful for auditing and planning, while avoiding claims that the available diagnostic artifacts cannot support.</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3  LITERATURE REVIEW</w:t>
      </w:r>
    </w:p>
    <w:p>
      <w:pPr>
        <w:pStyle w:val="Heading2"/>
        <w:spacing w:lineRule="auto" w:line="360"/>
        <w:rPr>
          <w:rFonts w:ascii="Times New Roman" w:hAnsi="Times New Roman"/>
        </w:rPr>
      </w:pPr>
      <w:r>
        <w:rPr>
          <w:rFonts w:ascii="Times New Roman" w:hAnsi="Times New Roman"/>
        </w:rPr>
        <w:t>3.1 Transformer Models for Email Classification</w:t>
      </w:r>
    </w:p>
    <w:p>
      <w:pPr>
        <w:pStyle w:val="Normal"/>
        <w:spacing w:lineRule="auto" w:line="360" w:before="0" w:after="100"/>
        <w:rPr>
          <w:rFonts w:ascii="Times New Roman" w:hAnsi="Times New Roman"/>
        </w:rPr>
      </w:pPr>
      <w:r>
        <w:rPr>
          <w:rFonts w:eastAsia="Times New Roman" w:ascii="Times New Roman" w:hAnsi="Times New Roman"/>
          <w:i w:val="false"/>
          <w:sz w:val="24"/>
        </w:rPr>
        <w:t>DistilBERT is a compact transformer language model produced through knowledge distillation. Sanh et al. describe its design as a smaller and faster alternative to BERT for downstream language tasks [1]. SynthGuard uses a DistilBERT sequence-classification checkpoint to assign a phishing probability to email text. This choice provides contextual language representations, but a high score on a single email corpus does not demonstrate robustness to new organizations, current attack campaigns, multilingual messages, or changes in email formatting.</w:t>
      </w:r>
    </w:p>
    <w:p>
      <w:pPr>
        <w:pStyle w:val="Normal"/>
        <w:spacing w:lineRule="auto" w:line="360" w:before="0" w:after="100"/>
        <w:rPr>
          <w:rFonts w:ascii="Times New Roman" w:hAnsi="Times New Roman"/>
        </w:rPr>
      </w:pPr>
      <w:r>
        <w:rPr>
          <w:rFonts w:eastAsia="Times New Roman" w:ascii="Times New Roman" w:hAnsi="Times New Roman"/>
          <w:i w:val="false"/>
          <w:sz w:val="24"/>
        </w:rPr>
        <w:t>The project notebook loads the Kaggle Phishing Email dataset, removes rows with missing fields and duplicate records, maps safe email to class 0 and phishing email to class 1, and creates an 80/20 stratified split with random state 42. The notebook records 17,538 cleaned examples and a 3,508-example test subset. Corpus quality, duplicate handling, source diversity, and the distinction between phishing and broader spam remain relevant threats to external validity.</w:t>
      </w:r>
    </w:p>
    <w:p>
      <w:pPr>
        <w:pStyle w:val="Heading2"/>
        <w:spacing w:lineRule="auto" w:line="360"/>
        <w:rPr>
          <w:rFonts w:ascii="Times New Roman" w:hAnsi="Times New Roman"/>
        </w:rPr>
      </w:pPr>
      <w:r>
        <w:rPr>
          <w:rFonts w:ascii="Times New Roman" w:hAnsi="Times New Roman"/>
        </w:rPr>
        <w:t>3.2 Audio Spoof Detection and MFCC Features</w:t>
      </w:r>
    </w:p>
    <w:p>
      <w:pPr>
        <w:pStyle w:val="Normal"/>
        <w:spacing w:lineRule="auto" w:line="360" w:before="0" w:after="100"/>
        <w:rPr>
          <w:rFonts w:ascii="Times New Roman" w:hAnsi="Times New Roman"/>
        </w:rPr>
      </w:pPr>
      <w:r>
        <w:rPr>
          <w:rFonts w:eastAsia="Times New Roman" w:ascii="Times New Roman" w:hAnsi="Times New Roman"/>
          <w:i w:val="false"/>
          <w:sz w:val="24"/>
        </w:rPr>
        <w:t>The ASVspoof challenge series provides standardized tasks for detecting spoofed speech and synthetic speech. The 2021 challenge separates logical-access, physical-access, and deepfake tracks and specifies benchmark data and evaluation procedures [3]. SynthGuard represents audio with 40 MFCC coefficients at a 16 kHz sample rate, using a 2,048-sample analysis window and a 512-sample hop, then pads or truncates to 300 frames. MFCCs summarize short-time spectral shape and have a long history in speech processing [8]. They are a feature representation, not by themselves a guarantee of spoof generalization.</w:t>
      </w:r>
    </w:p>
    <w:p>
      <w:pPr>
        <w:pStyle w:val="Heading2"/>
        <w:spacing w:lineRule="auto" w:line="360"/>
        <w:rPr>
          <w:rFonts w:ascii="Times New Roman" w:hAnsi="Times New Roman"/>
        </w:rPr>
      </w:pPr>
      <w:r>
        <w:rPr>
          <w:rFonts w:ascii="Times New Roman" w:hAnsi="Times New Roman"/>
        </w:rPr>
        <w:t>3.3 Video Manipulation Detection</w:t>
      </w:r>
    </w:p>
    <w:p>
      <w:pPr>
        <w:pStyle w:val="Normal"/>
        <w:spacing w:lineRule="auto" w:line="360" w:before="0" w:after="100"/>
        <w:rPr>
          <w:rFonts w:ascii="Times New Roman" w:hAnsi="Times New Roman"/>
        </w:rPr>
      </w:pPr>
      <w:r>
        <w:rPr>
          <w:rFonts w:eastAsia="Times New Roman" w:ascii="Times New Roman" w:hAnsi="Times New Roman"/>
          <w:i w:val="false"/>
          <w:sz w:val="24"/>
        </w:rPr>
        <w:t>FaceForensics++ introduced a benchmark containing manipulated facial videos, including DeepFakes, Face2Face, FaceSwap, and NeuralTextures, with multiple compression conditions [4]. EfficientNet uses compound scaling across network dimensions to balance accuracy and computational cost [5]. MTCNN uses a cascaded convolutional approach to locate and align faces [6]. SynthGuard applies MTCNN to sampled frames and then classifies extracted face crops with EfficientNet-B0. The current inference pipeline is therefore dependent on face visibility, crop quality, compression, and the manipulation types represented in training data.</w:t>
      </w:r>
    </w:p>
    <w:p>
      <w:pPr>
        <w:pStyle w:val="Heading2"/>
        <w:spacing w:lineRule="auto" w:line="360"/>
        <w:rPr>
          <w:rFonts w:ascii="Times New Roman" w:hAnsi="Times New Roman"/>
        </w:rPr>
      </w:pPr>
      <w:r>
        <w:rPr>
          <w:rFonts w:ascii="Times New Roman" w:hAnsi="Times New Roman"/>
        </w:rPr>
        <w:t>3.4 Classifier Combination and Late Fusion</w:t>
      </w:r>
    </w:p>
    <w:p>
      <w:pPr>
        <w:pStyle w:val="Normal"/>
        <w:spacing w:lineRule="auto" w:line="360" w:before="0" w:after="100"/>
        <w:rPr>
          <w:rFonts w:ascii="Times New Roman" w:hAnsi="Times New Roman"/>
        </w:rPr>
      </w:pPr>
      <w:r>
        <w:rPr>
          <w:rFonts w:eastAsia="Times New Roman" w:ascii="Times New Roman" w:hAnsi="Times New Roman"/>
          <w:i w:val="false"/>
          <w:sz w:val="24"/>
        </w:rPr>
        <w:t>Classifier combination research studies how evidence from distinct representations can be combined into a final decision. Kittler et al. provide a theoretical and experimental framework for combining classifier outputs [7]. SynthGuard uses a simple normalized arithmetic mean across the sensor scores that are present and adds a hand-coded veto when audio or video probability is at least 0.85. This rule is an engineering decision that must be assessed empirically; the general literature does not validate SynthGuard’s specific weights or veto threshold.</w:t>
      </w:r>
    </w:p>
    <w:p>
      <w:pPr>
        <w:pStyle w:val="Heading2"/>
        <w:spacing w:lineRule="auto" w:line="360"/>
        <w:rPr>
          <w:rFonts w:ascii="Times New Roman" w:hAnsi="Times New Roman"/>
        </w:rPr>
      </w:pPr>
      <w:r>
        <w:rPr>
          <w:rFonts w:ascii="Times New Roman" w:hAnsi="Times New Roman"/>
        </w:rPr>
        <w:t>3.5 Research Gap</w:t>
      </w:r>
    </w:p>
    <w:p>
      <w:pPr>
        <w:pStyle w:val="Normal"/>
        <w:spacing w:lineRule="auto" w:line="360" w:before="0" w:after="100"/>
        <w:rPr>
          <w:rFonts w:ascii="Times New Roman" w:hAnsi="Times New Roman"/>
        </w:rPr>
      </w:pPr>
      <w:r>
        <w:rPr>
          <w:rFonts w:eastAsia="Times New Roman" w:ascii="Times New Roman" w:hAnsi="Times New Roman"/>
          <w:i w:val="false"/>
          <w:sz w:val="24"/>
        </w:rPr>
        <w:t>The project addresses an integration gap in its prototype by making text, voice, and face-based outputs available through one local workflow. A larger research gap remains: public corpora are organized by modality and often do not contain aligned email, voice, and video from one coherent social-engineering scenario. Without authentic pairing and scenario-level labels, fusion metrics can measure dataset construction choices rather than the benefit of multi-modal evidence. The project benchmark documentation accordingly requires a curated manifest with independent validation and test groups.</w:t>
      </w:r>
      <w:r>
        <w:rPr>
          <w:rFonts w:ascii="Times New Roman" w:hAnsi="Times New Roman"/>
        </w:rPr>
        <w:t xml:space="preserve"> This gap affects the interpretation of fusion claims. Pairing any threat-labeled email with any threat-labeled audio and video creates a table with matching class labels, but it does not create one coherent incident. The same scenario must be represented by genuinely related evidence, and related actors, campaigns, recordings, or source videos must remain in one data split. SynthGuard’s manifest contract is designed to preserve those relationships and record sensor-specific labels. Until an authentic paired test set is assembled and independently labeled, fusion can be described as implemented behavior and a testable architecture, not as a measured advantage over unimodal models.</w:t>
      </w:r>
    </w:p>
    <w:p>
      <w:pPr>
        <w:pStyle w:val="Heading2"/>
        <w:spacing w:lineRule="auto" w:line="360"/>
        <w:rPr>
          <w:rFonts w:ascii="Times New Roman" w:hAnsi="Times New Roman"/>
        </w:rPr>
      </w:pPr>
      <w:r>
        <w:rPr>
          <w:rFonts w:ascii="Times New Roman" w:hAnsi="Times New Roman"/>
        </w:rPr>
        <w:t>3.6 Literature Review Summary</w:t>
      </w:r>
    </w:p>
    <w:p>
      <w:pPr>
        <w:pStyle w:val="Normal"/>
        <w:spacing w:lineRule="auto" w:line="360" w:before="0" w:after="100"/>
        <w:rPr>
          <w:rFonts w:ascii="Times New Roman" w:hAnsi="Times New Roman"/>
        </w:rPr>
      </w:pPr>
      <w:r>
        <w:rPr>
          <w:rFonts w:eastAsia="Times New Roman" w:ascii="Times New Roman" w:hAnsi="Times New Roman"/>
          <w:i w:val="false"/>
          <w:sz w:val="24"/>
        </w:rPr>
        <w:t>The model and dataset literature supports the selection of a transformer text sensor, an MFCC-based speech sensor, a face-crop video sensor, and a score-combination layer. It does not support transferring benchmark results from those source works to SynthGuard. Model metrics must be produced from the specific saved checkpoints and evaluation data used by this project.</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4  RESEARCH METHODOLOGY</w:t>
      </w:r>
    </w:p>
    <w:p>
      <w:pPr>
        <w:pStyle w:val="Heading2"/>
        <w:spacing w:lineRule="auto" w:line="360"/>
        <w:rPr>
          <w:rFonts w:ascii="Times New Roman" w:hAnsi="Times New Roman"/>
        </w:rPr>
      </w:pPr>
      <w:r>
        <w:rPr>
          <w:rFonts w:ascii="Times New Roman" w:hAnsi="Times New Roman"/>
        </w:rPr>
        <w:t>4.1 Research Approach</w:t>
      </w:r>
    </w:p>
    <w:p>
      <w:pPr>
        <w:pStyle w:val="Normal"/>
        <w:spacing w:lineRule="auto" w:line="360" w:before="0" w:after="100"/>
        <w:rPr>
          <w:rFonts w:ascii="Times New Roman" w:hAnsi="Times New Roman"/>
        </w:rPr>
      </w:pPr>
      <w:r>
        <w:rPr>
          <w:rFonts w:eastAsia="Times New Roman" w:ascii="Times New Roman" w:hAnsi="Times New Roman"/>
          <w:i w:val="false"/>
          <w:sz w:val="24"/>
        </w:rPr>
        <w:t>This work follows a design-and-implementation approach. The three sensors are treated as independent predictors; the API standardizes their outputs; and a deterministic fusion function combines the available probabilities. The report distinguishes implementation verification from model-performance evaluation. API operation and score routing can be checked with functional tests, while accuracy requires labeled examples that were not used for training or threshold selection.</w:t>
      </w:r>
      <w:r>
        <w:rPr>
          <w:rFonts w:ascii="Times New Roman" w:hAnsi="Times New Roman"/>
        </w:rPr>
        <w:t xml:space="preserve"> The work separates three kinds of evidence. Code inspection establishes which transformations and decision rules are implemented. A request-level check establishes that the running application accepts an input and returns a response with the expected status fields. A model evaluation estimates predictive behavior only when labels, sample membership, checkpoint identity, preprocessing, and threshold selection are sufficiently documented. These categories are reported separately so that a successful demonstration scan is not mistaken for a benchmark experiment.</w:t>
      </w:r>
    </w:p>
    <w:p>
      <w:pPr>
        <w:pStyle w:val="Heading2"/>
        <w:spacing w:lineRule="auto" w:line="276"/>
        <w:rPr>
          <w:rFonts w:ascii="Times New Roman" w:hAnsi="Times New Roman"/>
        </w:rPr>
      </w:pPr>
      <w:r>
        <w:rPr>
          <w:rFonts w:ascii="Times New Roman" w:hAnsi="Times New Roman"/>
        </w:rPr>
        <w:t>4.2 Data Sources and Sample Definition</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152"/>
        <w:gridCol w:w="2952"/>
        <w:gridCol w:w="2016"/>
        <w:gridCol w:w="2879"/>
      </w:tblGrid>
      <w:tr>
        <w:trPr>
          <w:tblHeader w:val="true"/>
        </w:trPr>
        <w:tc>
          <w:tcPr>
            <w:tcW w:w="1152"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ascii="Times New Roman" w:hAnsi="Times New Roman"/>
                <w:sz w:val="24"/>
              </w:rPr>
              <w:t>Modality</w:t>
            </w:r>
          </w:p>
        </w:tc>
        <w:tc>
          <w:tcPr>
            <w:tcW w:w="2952"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ascii="Times New Roman" w:hAnsi="Times New Roman"/>
                <w:sz w:val="24"/>
              </w:rPr>
              <w:t>Project data source</w:t>
            </w:r>
          </w:p>
        </w:tc>
        <w:tc>
          <w:tcPr>
            <w:tcW w:w="2016"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ascii="Times New Roman" w:hAnsi="Times New Roman"/>
                <w:sz w:val="24"/>
              </w:rPr>
              <w:t>Label meaning</w:t>
            </w:r>
          </w:p>
        </w:tc>
        <w:tc>
          <w:tcPr>
            <w:tcW w:w="2879"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ascii="Times New Roman" w:hAnsi="Times New Roman"/>
                <w:sz w:val="24"/>
              </w:rPr>
              <w:t>Evidence currently available</w:t>
            </w:r>
          </w:p>
        </w:tc>
      </w:tr>
      <w:tr>
        <w:trPr/>
        <w:tc>
          <w:tcPr>
            <w:tcW w:w="11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Email</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Kaggle Phishing Email dataset; local notebook records 17,538 examples after cleaning [2]</w:t>
            </w:r>
          </w:p>
        </w:tc>
        <w:tc>
          <w:tcPr>
            <w:tcW w:w="2016"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Safe / phishing</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Current-checkpoint re-score and per-example CSV exist; checkpoint training provenance remains unverified.</w:t>
            </w:r>
          </w:p>
        </w:tc>
      </w:tr>
      <w:tr>
        <w:trPr/>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Audio</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ASVspoof 2021 logical-access data and exported feature shards [3]</w:t>
            </w:r>
          </w:p>
        </w:tc>
        <w:tc>
          <w:tcPr>
            <w:tcW w:w="201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Genuine / spoof</w:t>
            </w:r>
          </w:p>
        </w:tc>
        <w:tc>
          <w:tcPr>
            <w:tcW w:w="2879"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Reconstructed 500-row diagnostic re-score and per-row CSV exist; source groups and exact checkpoint lineage are unresolved.</w:t>
            </w:r>
          </w:p>
        </w:tc>
      </w:tr>
      <w:tr>
        <w:trPr/>
        <w:tc>
          <w:tcPr>
            <w:tcW w:w="11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Video</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FaceForensics++ manipulated and original sequences [4]</w:t>
            </w:r>
          </w:p>
        </w:tc>
        <w:tc>
          <w:tcPr>
            <w:tcW w:w="2016"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Original / manipulated</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Active checkpoint and inference code exist; source-disjoint held-out metrics and a verified calibration record are absent.</w:t>
            </w:r>
          </w:p>
        </w:tc>
      </w:tr>
      <w:tr>
        <w:trPr/>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Fusion</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Curated scenario manifest specified in project docs</w:t>
            </w:r>
          </w:p>
        </w:tc>
        <w:tc>
          <w:tcPr>
            <w:tcW w:w="201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Scenario-level benign / threat</w:t>
            </w:r>
          </w:p>
        </w:tc>
        <w:tc>
          <w:tcPr>
            <w:tcW w:w="2879"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Benchmark runner and manifest contract exist; no authentic paired scenario result bundle is present.</w:t>
            </w:r>
          </w:p>
        </w:tc>
      </w:tr>
    </w:tbl>
    <w:p>
      <w:pPr>
        <w:pStyle w:val="Normal"/>
        <w:spacing w:lineRule="auto" w:line="360" w:before="0" w:after="100"/>
        <w:rPr>
          <w:rFonts w:ascii="Times New Roman" w:hAnsi="Times New Roman"/>
        </w:rPr>
      </w:pPr>
      <w:r>
        <w:rPr>
          <w:rFonts w:eastAsia="Times New Roman" w:ascii="Times New Roman" w:hAnsi="Times New Roman"/>
          <w:i w:val="false"/>
          <w:sz w:val="24"/>
        </w:rPr>
        <w:t>A scenario-level multi-modal sample should contain one investigation story with explicitly paired media, sensor-specific labels, an overall scenario label, and a group identifier for the campaign, actor, or source recording. The scenario label must be written independently of model scores. A benign scenario can contain a spoofed modality, and a threat scenario can contain genuine supporting media. The report does not treat independently sourced audio and video examples as if they belonged to the same event.</w:t>
      </w:r>
      <w:r>
        <w:rPr>
          <w:rFonts w:ascii="Times New Roman" w:hAnsi="Times New Roman"/>
        </w:rPr>
        <w:t xml:space="preserve"> The manifest should therefore record a scenario identifier, split, group identifier, scenario label, sensor-specific labels, and paths to any available evidence. A missing modality is allowed and must remain missing in the record; it should not be silently replaced with unrelated media merely to fill a row. Before scoring, the curator should verify that the email, audio, and video represent the same actor, event, or deliberately constructed scenario, and document whether each pairing is authentic or synthetic. Group identifiers make it possible to keep correlated source material out of multiple splits.</w:t>
      </w:r>
    </w:p>
    <w:p>
      <w:pPr>
        <w:pStyle w:val="Heading2"/>
        <w:spacing w:lineRule="auto" w:line="360"/>
        <w:rPr>
          <w:rFonts w:ascii="Times New Roman" w:hAnsi="Times New Roman"/>
        </w:rPr>
      </w:pPr>
      <w:r>
        <w:rPr>
          <w:rFonts w:ascii="Times New Roman" w:hAnsi="Times New Roman"/>
        </w:rPr>
        <w:t>4.3 Data Preparation</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t>Email text is tokenized with the local DistilBERT tokenizer, truncation enabled, a maximum length of 256 tokens, and fixed-length padding. Audio is loaded at 16 kHz, transformed to MFCCs, and normalized in shape by zero padding or truncation to 300 frames. Video is sampled from the uploaded clip at fixed frame intervals; MTCNN detections above 0.90 confidence are cropped, resized to 224 by 224, and normalized with ImageNet channel statistics before model inference. These steps are implemented in the backend and associated notebooks [P1, P2].</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r>
    </w:p>
    <w:p>
      <w:pPr>
        <w:pStyle w:val="Heading2"/>
        <w:spacing w:lineRule="auto" w:line="360"/>
        <w:rPr>
          <w:rFonts w:ascii="Times New Roman" w:hAnsi="Times New Roman"/>
        </w:rPr>
      </w:pPr>
      <w:r>
        <w:rPr>
          <w:rFonts w:ascii="Times New Roman" w:hAnsi="Times New Roman"/>
        </w:rPr>
        <w:t>4.4 Evaluation Design For a defensible comparison, the validation set is used to select any model threshold or video calibration parameter, after which that choice is frozen. The test set is then evaluated once under the declared protocol. Predictions should retain one row per sample, including its ground-truth label, raw model score, transformed score where applicable, decision threshold, predicted label, source group, and processing status. A run summary should record model and dataset hashes, software revision, split manifest, and metric denominators. These requirements make it possible to distinguish a reproducible score export from a genuinely held-out estimate.</w:t>
      </w:r>
    </w:p>
    <w:p>
      <w:pPr>
        <w:pStyle w:val="Normal"/>
        <w:spacing w:lineRule="auto" w:line="360"/>
        <w:rPr>
          <w:rFonts w:ascii="Times New Roman" w:hAnsi="Times New Roman"/>
        </w:rPr>
      </w:pPr>
      <w:r>
        <w:rPr>
          <w:rFonts w:ascii="Times New Roman" w:hAnsi="Times New Roman"/>
        </w:rPr>
      </w:r>
    </w:p>
    <w:p>
      <w:pPr>
        <w:pStyle w:val="Normal"/>
        <w:spacing w:lineRule="auto" w:line="360"/>
        <w:rPr>
          <w:rFonts w:ascii="Times New Roman" w:hAnsi="Times New Roman"/>
        </w:rPr>
      </w:pPr>
      <w:r>
        <w:rPr>
          <w:rFonts w:ascii="Times New Roman" w:hAnsi="Times New Roman"/>
        </w:rPr>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
                    <pic:cNvPicPr>
                      <a:picLocks noChangeAspect="1" noChangeArrowheads="1"/>
                    </pic:cNvPicPr>
                  </pic:nvPicPr>
                  <pic:blipFill>
                    <a:blip r:embed="rId5"/>
                    <a:stretch>
                      <a:fillRect/>
                    </a:stretch>
                  </pic:blipFill>
                  <pic:spPr bwMode="auto">
                    <a:xfrm>
                      <a:off x="0" y="0"/>
                      <a:ext cx="6080760" cy="2871470"/>
                    </a:xfrm>
                    <a:prstGeom prst="rect">
                      <a:avLst/>
                    </a:prstGeom>
                    <a:noFill/>
                  </pic:spPr>
                </pic:pic>
              </a:graphicData>
            </a:graphic>
          </wp:inline>
        </w:drawing>
      </w:r>
    </w:p>
    <w:p>
      <w:pPr>
        <w:pStyle w:val="Caption"/>
        <w:spacing w:lineRule="auto" w:line="360"/>
        <w:jc w:val="center"/>
        <w:rPr>
          <w:rFonts w:ascii="Times New Roman" w:hAnsi="Times New Roman"/>
        </w:rPr>
      </w:pPr>
      <w:r>
        <w:rPr>
          <w:rFonts w:ascii="Times New Roman" w:hAnsi="Times New Roman"/>
        </w:rPr>
        <w:t>Figure 4.1. Evaluation evidence gates distinguish diagnostic re-scores from benchmark estimates.</w:t>
      </w:r>
    </w:p>
    <w:p>
      <w:pPr>
        <w:pStyle w:val="Normal"/>
        <w:spacing w:lineRule="auto" w:line="360" w:before="0" w:after="100"/>
        <w:rPr>
          <w:rFonts w:eastAsia="Times New Roman"/>
          <w:i w:val="false"/>
          <w:i w:val="false"/>
          <w:sz w:val="24"/>
        </w:rPr>
      </w:pPr>
      <w:r>
        <w:rPr>
          <w:rFonts w:eastAsia="Times New Roman" w:ascii="Times New Roman" w:hAnsi="Times New Roman"/>
          <w:i w:val="false"/>
          <w:sz w:val="24"/>
        </w:rPr>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t>A current-checkpoint email re-score is recorded in outputs/reports/email_test_metrics.json and outputs/reports/email_test_predictions.csv. It covers 3,508 rows from the saved test dataset and uses the active email checkpoint, but the checkpoint’s training and model-selection lineage is not established. One input exceeds the API character limit and is clipped; an unclipped diagnostic on the other 3,507 rows is also recorded. The audio artifact outputs/reports/audio_reconstructed_test_metrics.json is a local re-score of a reconstructed random 500-row holdout from the supplied feature ordering; it has no speaker/session identifiers, and its exact checkpoint identity relative to the supplied Colab training run is unverified. No source-disjoint video test output was found. These artifacts support reproducible diagnostics with stated scope, not unqualified claims of held-out generalization.</w:t>
      </w:r>
      <w:r>
        <w:rPr>
          <w:rFonts w:eastAsia="Times New Roman" w:ascii="Times New Roman" w:hAnsi="Times New Roman"/>
          <w:i w:val="false"/>
          <w:sz w:val="24"/>
        </w:rPr>
        <w:t xml:space="preserve"> The current-checkpoint email re-score is therefore treated as a diagnostic artifact: it verifies that the active checkpoint can be applied to the saved test file and that its output can be audited per row. It does not certify independence from training or model selection. The counts and exact threshold are reported in Chapter 7 and Appendix H, alongside the checkpoint and dataset hashes. A separate unclipped calculation was also performed to check the long input: removing that one row changed accuracy and FPR only slightly, so the character-limit clipping does not explain the larger discrepancy from the older Colab summary.</w:t>
      </w:r>
    </w:p>
    <w:p>
      <w:pPr>
        <w:pStyle w:val="Normal"/>
        <w:spacing w:lineRule="auto" w:line="360" w:before="0" w:after="100"/>
        <w:rPr>
          <w:rFonts w:ascii="Times New Roman" w:hAnsi="Times New Roman"/>
        </w:rPr>
      </w:pPr>
      <w:r>
        <w:rPr>
          <w:rFonts w:eastAsia="Times New Roman" w:ascii="Times New Roman" w:hAnsi="Times New Roman"/>
          <w:i w:val="false"/>
          <w:sz w:val="24"/>
        </w:rPr>
        <w:t>For future multi-modal evaluation, the benchmark script requires separate validation and test splits. It selects video calibration and decision thresholds on validation rows only, computes metrics on test rows, records per-scenario predictions and sensor status, and emits run metadata and model hashes. Group identifiers are intended to prevent related source material from crossing the validation/test boundary. Coverage must be reported because each sensor subset may be evaluated on a different subset of cases [P3].</w:t>
      </w:r>
      <w:r>
        <w:rPr>
          <w:rFonts w:ascii="Times New Roman" w:hAnsi="Times New Roman"/>
        </w:rPr>
        <w:t xml:space="preserve"> The runner’s outputs are useful only when the manifest itself is valid. It cannot establish that two files belong to the same incident; that relationship must be curated and documented before evaluation. The runner then applies the declared modality subsets, records prediction-level outputs and coverage, and summarizes counts and uncertainty. Synthetic or constructed cases can test routing and arithmetic, but their results must be labeled as logic or stress-test evidence. They cannot be presented as real-world detection accuracy.</w:t>
      </w:r>
    </w:p>
    <w:p>
      <w:pPr>
        <w:pStyle w:val="Heading2"/>
        <w:spacing w:lineRule="auto" w:line="360"/>
        <w:rPr>
          <w:rFonts w:ascii="Times New Roman" w:hAnsi="Times New Roman"/>
        </w:rPr>
      </w:pPr>
      <w:r>
        <w:rPr>
          <w:rFonts w:ascii="Times New Roman" w:hAnsi="Times New Roman"/>
        </w:rPr>
        <w:t>4.5 Metrics</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t>For a binary threat classifier, true positives (TP) are threat cases classified as threat, true negatives (TN) are benign cases classified as benign, false positives (FP) are benign cases classified as threat, and false negatives (FN) are threat cases classified as benign. The report uses the following definitions:</w:t>
      </w:r>
    </w:p>
    <w:p>
      <w:pPr>
        <w:pStyle w:val="Normal"/>
        <w:spacing w:lineRule="auto" w:line="360" w:before="0" w:after="100"/>
        <w:jc w:val="center"/>
        <w:rPr>
          <w:rFonts w:ascii="Times New Roman" w:hAnsi="Times New Roman" w:eastAsia="Times New Roman"/>
          <w:b/>
          <w:sz w:val="24"/>
        </w:rPr>
      </w:pPr>
      <w:r>
        <w:rPr>
          <w:rFonts w:eastAsia="Times New Roman" w:ascii="Times New Roman" w:hAnsi="Times New Roman"/>
          <w:b/>
          <w:sz w:val="24"/>
        </w:rPr>
        <w:t>Accuracy = (TP + TN) / (TP + TN + FP + FN)</w:t>
      </w:r>
    </w:p>
    <w:p>
      <w:pPr>
        <w:pStyle w:val="Normal"/>
        <w:spacing w:lineRule="auto" w:line="360" w:before="0" w:after="100"/>
        <w:jc w:val="center"/>
        <w:rPr>
          <w:rFonts w:ascii="Times New Roman" w:hAnsi="Times New Roman"/>
        </w:rPr>
      </w:pPr>
      <w:r>
        <w:rPr>
          <w:rFonts w:eastAsia="Times New Roman" w:ascii="Times New Roman" w:hAnsi="Times New Roman"/>
          <w:b/>
          <w:sz w:val="24"/>
        </w:rPr>
        <w:t>False positive rate (FPR) = FP / (FP + TN)</w:t>
      </w:r>
    </w:p>
    <w:p>
      <w:pPr>
        <w:pStyle w:val="Normal"/>
        <w:spacing w:lineRule="auto" w:line="360" w:before="0" w:after="100"/>
        <w:jc w:val="center"/>
        <w:rPr>
          <w:rFonts w:ascii="Times New Roman" w:hAnsi="Times New Roman"/>
        </w:rPr>
      </w:pPr>
      <w:r>
        <w:rPr>
          <w:rFonts w:eastAsia="Times New Roman" w:ascii="Times New Roman" w:hAnsi="Times New Roman"/>
          <w:b/>
          <w:sz w:val="24"/>
        </w:rPr>
        <w:t>False negative rate (FNR) = FN / (FN + TP)</w:t>
      </w:r>
    </w:p>
    <w:p>
      <w:pPr>
        <w:pStyle w:val="Normal"/>
        <w:spacing w:lineRule="auto" w:line="360" w:before="0" w:after="100"/>
        <w:jc w:val="center"/>
        <w:rPr>
          <w:rFonts w:eastAsia="Times New Roman"/>
          <w:i w:val="false"/>
          <w:i w:val="false"/>
          <w:sz w:val="24"/>
        </w:rPr>
      </w:pPr>
      <w:r>
        <w:rPr>
          <w:rFonts w:eastAsia="Times New Roman" w:ascii="Times New Roman" w:hAnsi="Times New Roman"/>
          <w:b/>
          <w:sz w:val="24"/>
        </w:rPr>
        <w:t>Precision = TP / (TP + FP); Recall = TP / (TP + FN)</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t>For model comparison, confidence intervals should accompany point estimates, and test denominators should be reported separately for benign and threat classes. In a small or constructed scenario set, percentages should not be presented with precision that exceeds the sample size.</w:t>
      </w:r>
    </w:p>
    <w:p>
      <w:pPr>
        <w:pStyle w:val="Heading2"/>
        <w:spacing w:lineRule="auto" w:line="360"/>
        <w:rPr>
          <w:rFonts w:ascii="Times New Roman" w:hAnsi="Times New Roman"/>
        </w:rPr>
      </w:pPr>
      <w:r>
        <w:rPr>
          <w:rFonts w:ascii="Times New Roman" w:hAnsi="Times New Roman"/>
        </w:rPr>
        <w:t>4.6 Tools and Techniques</w:t>
      </w:r>
    </w:p>
    <w:p>
      <w:pPr>
        <w:pStyle w:val="Normal"/>
        <w:spacing w:lineRule="auto" w:line="360" w:before="0" w:after="100"/>
        <w:rPr>
          <w:rFonts w:ascii="Times New Roman" w:hAnsi="Times New Roman"/>
        </w:rPr>
      </w:pPr>
      <w:r>
        <w:rPr>
          <w:rFonts w:eastAsia="Times New Roman" w:ascii="Times New Roman" w:hAnsi="Times New Roman"/>
          <w:i w:val="false"/>
          <w:sz w:val="24"/>
        </w:rPr>
        <w:t>The project uses Python, PyTorch, Hugging Face Transformers, librosa, OpenCV, MTCNN, FastAPI, React, TypeScript, Vite, jsPDF, and Docker Compose. The backend loads models from local project directories and uses an Nginx-served frontend in the containerized configuration. Model inference can operate from local checkpoints after dependencies are installed; the deployment is local and offline-capable, but this wording does not claim a physically air-gapped host.</w:t>
      </w:r>
      <w:r>
        <w:rPr>
          <w:rFonts w:ascii="Times New Roman" w:hAnsi="Times New Roman"/>
        </w:rPr>
        <w:t xml:space="preserve"> These tools were selected to keep the interface, model inference, and deployment layers understandable within a student project. Python and PyTorch provide the inference path, Transformers supplies the email classifier interface, and librosa supports audio resampling and MFCC extraction. OpenCV and MTCNN handle video frame access and face detection. Docker Compose packages the API and web client as separate services. The exact dependency versions and local weight files should be retained with any future evaluation run because changes in preprocessing or checkpoint loading may affect scores.</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5  ANALYSIS AND PROPOSED WORK</w:t>
      </w:r>
    </w:p>
    <w:p>
      <w:pPr>
        <w:pStyle w:val="Heading2"/>
        <w:spacing w:lineRule="auto" w:line="360"/>
        <w:rPr>
          <w:rFonts w:ascii="Times New Roman" w:hAnsi="Times New Roman"/>
        </w:rPr>
      </w:pPr>
      <w:r>
        <w:rPr>
          <w:rFonts w:ascii="Times New Roman" w:hAnsi="Times New Roman"/>
        </w:rPr>
        <w:t>5.1 Existing Workflow</w:t>
      </w:r>
    </w:p>
    <w:p>
      <w:pPr>
        <w:pStyle w:val="Normal"/>
        <w:spacing w:lineRule="auto" w:line="360" w:before="0" w:after="100"/>
        <w:rPr>
          <w:rFonts w:ascii="Times New Roman" w:hAnsi="Times New Roman"/>
        </w:rPr>
      </w:pPr>
      <w:r>
        <w:rPr>
          <w:rFonts w:eastAsia="Times New Roman" w:ascii="Times New Roman" w:hAnsi="Times New Roman"/>
          <w:i w:val="false"/>
          <w:sz w:val="24"/>
        </w:rPr>
        <w:t>A user supplies one or more evidence types through the analyst interface. The frontend sends email text or media files to FastAPI. Each successful sensor returns a probability-like score and a modality status. The multi-modal endpoint passes available scores to the fusion function, classifies the result at a 0.50 boundary, and returns indicators and a summary. The browser can save report metadata in localStorage and construct a client-side PDF. The architecture keeps inference and report generation within the local application workflow.</w:t>
      </w:r>
      <w:r>
        <w:rPr>
          <w:rFonts w:ascii="Times New Roman" w:hAnsi="Times New Roman"/>
        </w:rPr>
        <w:t xml:space="preserve"> A scan proceeds from evidence submission to a structured response. The front end first collects only the supplied modalities and sends them to the matching endpoint. The backend validates each payload and calls the corresponding local model. The response distinguishes successful processing from omitted or failed sensors, and the fusion path uses only successfully computed scores. The analyst can inspect the result in the relevant module, export a PDF for that scan, and revisit its lightweight metadata from the local report-history page.</w:t>
      </w:r>
    </w:p>
    <w:p>
      <w:pPr>
        <w:pStyle w:val="Heading2"/>
        <w:spacing w:lineRule="auto" w:line="360"/>
        <w:rPr>
          <w:rFonts w:ascii="Times New Roman" w:hAnsi="Times New Roman"/>
        </w:rPr>
      </w:pPr>
      <w:r>
        <w:rPr>
          <w:rFonts w:ascii="Times New Roman" w:hAnsi="Times New Roman"/>
        </w:rPr>
      </w:r>
    </w:p>
    <w:p>
      <w:pPr>
        <w:pStyle w:val="Heading2"/>
        <w:spacing w:lineRule="auto" w:line="360"/>
        <w:rPr>
          <w:rFonts w:ascii="Times New Roman" w:hAnsi="Times New Roman"/>
        </w:rPr>
      </w:pPr>
      <w:r>
        <w:rPr>
          <w:rFonts w:ascii="Times New Roman" w:hAnsi="Times New Roman"/>
        </w:rPr>
        <w:t>5.2 Proposed System Architecture</w:t>
      </w:r>
    </w:p>
    <w:p>
      <w:pPr>
        <w:pStyle w:val="Normal"/>
        <w:spacing w:lineRule="auto" w:line="360" w:before="0" w:after="100"/>
        <w:rPr>
          <w:rFonts w:ascii="Times New Roman" w:hAnsi="Times New Roman"/>
        </w:rPr>
      </w:pPr>
      <w:r>
        <w:rPr>
          <w:rFonts w:ascii="Times New Roman" w:hAnsi="Times New Roman"/>
        </w:rPr>
        <w:drawing>
          <wp:inline distT="0" distB="0" distL="0" distR="0">
            <wp:extent cx="6335395" cy="3564255"/>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6"/>
                    <a:stretch>
                      <a:fillRect/>
                    </a:stretch>
                  </pic:blipFill>
                  <pic:spPr bwMode="auto">
                    <a:xfrm>
                      <a:off x="0" y="0"/>
                      <a:ext cx="6335395" cy="3564255"/>
                    </a:xfrm>
                    <a:prstGeom prst="rect">
                      <a:avLst/>
                    </a:prstGeom>
                    <a:noFill/>
                  </pic:spPr>
                </pic:pic>
              </a:graphicData>
            </a:graphic>
          </wp:inline>
        </w:drawing>
      </w:r>
    </w:p>
    <w:p>
      <w:pPr>
        <w:pStyle w:val="Normal"/>
        <w:spacing w:lineRule="auto" w:line="360" w:before="80" w:after="160"/>
        <w:jc w:val="center"/>
        <w:rPr>
          <w:rFonts w:ascii="Times New Roman" w:hAnsi="Times New Roman"/>
          <w:b/>
          <w:bCs/>
        </w:rPr>
      </w:pPr>
      <w:r>
        <w:rPr>
          <w:rFonts w:ascii="Times New Roman" w:hAnsi="Times New Roman"/>
          <w:b/>
          <w:bCs/>
        </w:rPr>
        <w:t>Figure 5.1. SynthGuard local analysis and reporting flow.</w:t>
      </w:r>
    </w:p>
    <w:p>
      <w:pPr>
        <w:pStyle w:val="Heading2"/>
        <w:spacing w:lineRule="auto" w:line="360"/>
        <w:rPr>
          <w:rFonts w:ascii="Times New Roman" w:hAnsi="Times New Roman"/>
        </w:rPr>
      </w:pPr>
      <w:r>
        <w:rPr>
          <w:rFonts w:ascii="Times New Roman" w:hAnsi="Times New Roman"/>
        </w:rPr>
        <w:t>5.3 Sensor Modules</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080"/>
        <w:gridCol w:w="2232"/>
        <w:gridCol w:w="3744"/>
        <w:gridCol w:w="1943"/>
      </w:tblGrid>
      <w:tr>
        <w:trPr>
          <w:tblHeader w:val="true"/>
        </w:trPr>
        <w:tc>
          <w:tcPr>
            <w:tcW w:w="108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Sensor</w:t>
            </w:r>
          </w:p>
        </w:tc>
        <w:tc>
          <w:tcPr>
            <w:tcW w:w="223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Model path</w:t>
            </w:r>
          </w:p>
        </w:tc>
        <w:tc>
          <w:tcPr>
            <w:tcW w:w="374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Input and processing</w:t>
            </w:r>
          </w:p>
        </w:tc>
        <w:tc>
          <w:tcPr>
            <w:tcW w:w="1943"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Output</w:t>
            </w:r>
          </w:p>
        </w:tc>
      </w:tr>
      <w:tr>
        <w:trPr/>
        <w:tc>
          <w:tcPr>
            <w:tcW w:w="108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w:t>
            </w:r>
          </w:p>
        </w:tc>
        <w:tc>
          <w:tcPr>
            <w:tcW w:w="223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Fine-tuned DistilBERT sequence classifier</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Text tokenization; max length 256</w:t>
            </w:r>
          </w:p>
        </w:tc>
        <w:tc>
          <w:tcPr>
            <w:tcW w:w="194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Phishing probability; indicator threshold 0.50</w:t>
            </w:r>
          </w:p>
        </w:tc>
      </w:tr>
      <w:tr>
        <w:trPr/>
        <w:tc>
          <w:tcPr>
            <w:tcW w:w="108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w:t>
            </w:r>
          </w:p>
        </w:tc>
        <w:tc>
          <w:tcPr>
            <w:tcW w:w="223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Three-block CNN over MFCCs</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16 kHz audio; 40 coefficients; 300 frames</w:t>
            </w:r>
          </w:p>
        </w:tc>
        <w:tc>
          <w:tcPr>
            <w:tcW w:w="1943"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Spoof probability; indicator threshold 0.45</w:t>
            </w:r>
          </w:p>
        </w:tc>
      </w:tr>
      <w:tr>
        <w:trPr/>
        <w:tc>
          <w:tcPr>
            <w:tcW w:w="108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w:t>
            </w:r>
          </w:p>
        </w:tc>
        <w:tc>
          <w:tcPr>
            <w:tcW w:w="223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MTCNN face detector + EfficientNet-B0</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Sample frames; crop face; resize to 224×224; average up to five scores</w:t>
            </w:r>
          </w:p>
        </w:tc>
        <w:tc>
          <w:tcPr>
            <w:tcW w:w="194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Calibrated manipulation probability; decision boundary 0.50</w:t>
            </w:r>
          </w:p>
        </w:tc>
      </w:tr>
    </w:tbl>
    <w:p>
      <w:pPr>
        <w:pStyle w:val="Normal"/>
        <w:spacing w:lineRule="auto" w:line="360" w:before="0" w:after="100"/>
        <w:rPr>
          <w:rFonts w:ascii="Times New Roman" w:hAnsi="Times New Roman"/>
        </w:rPr>
      </w:pPr>
      <w:r>
        <w:rPr>
          <w:rFonts w:ascii="Times New Roman" w:hAnsi="Times New Roman"/>
        </w:rPr>
      </w:r>
    </w:p>
    <w:p>
      <w:pPr>
        <w:pStyle w:val="Heading2"/>
        <w:spacing w:lineRule="auto" w:line="360"/>
        <w:rPr>
          <w:rFonts w:ascii="Times New Roman" w:hAnsi="Times New Roman"/>
        </w:rPr>
      </w:pPr>
      <w:r>
        <w:rPr>
          <w:rFonts w:ascii="Times New Roman" w:hAnsi="Times New Roman"/>
        </w:rPr>
        <w:t>5.4 Fusion Rule</w:t>
      </w:r>
    </w:p>
    <w:p>
      <w:pPr>
        <w:pStyle w:val="Normal"/>
        <w:spacing w:lineRule="auto" w:line="360" w:before="0" w:after="100"/>
        <w:rPr>
          <w:rFonts w:ascii="Times New Roman" w:hAnsi="Times New Roman"/>
        </w:rPr>
      </w:pPr>
      <w:r>
        <w:rPr>
          <w:rFonts w:eastAsia="Times New Roman" w:ascii="Times New Roman" w:hAnsi="Times New Roman"/>
          <w:i w:val="false"/>
          <w:sz w:val="24"/>
        </w:rPr>
        <w:t>Let E, A, and V denote the email, audio, and video scores that were successfully computed. The implementation assigns nominal weights of 0.3333 to each available sensor and renormalizes by the sum of the available weights. If no modality is available, fusion returns no score. The fused score is classified as a threat when it is at least 0.50.</w:t>
      </w:r>
    </w:p>
    <w:p>
      <w:pPr>
        <w:pStyle w:val="Normal"/>
        <w:spacing w:lineRule="auto" w:line="360" w:before="0" w:after="100"/>
        <w:jc w:val="center"/>
        <w:rPr>
          <w:rFonts w:ascii="Times New Roman" w:hAnsi="Times New Roman"/>
        </w:rPr>
      </w:pPr>
      <w:r>
        <w:rPr>
          <w:rFonts w:eastAsia="Times New Roman" w:ascii="Times New Roman" w:hAnsi="Times New Roman"/>
          <w:b/>
          <w:sz w:val="24"/>
        </w:rPr>
        <w:t>S_fusion = Σ(w_i S_i) / Σ(w_i), for available sensors i, unless the biometric veto fires</w:t>
      </w:r>
    </w:p>
    <w:p>
      <w:pPr>
        <w:pStyle w:val="Normal"/>
        <w:spacing w:lineRule="auto" w:line="360" w:before="0" w:after="100"/>
        <w:rPr>
          <w:rFonts w:ascii="Times New Roman" w:hAnsi="Times New Roman"/>
        </w:rPr>
      </w:pPr>
      <w:r>
        <w:rPr>
          <w:rFonts w:eastAsia="Times New Roman" w:ascii="Times New Roman" w:hAnsi="Times New Roman"/>
          <w:i w:val="false"/>
          <w:sz w:val="24"/>
        </w:rPr>
        <w:t>The veto fires when an available audio or video score is at least 0.85. The implementation then returns the highest available sensor score. Therefore, it raises the unified score to the strongest sensor value; it produces exactly 1.00 only when that strongest input is itself 1.00. The veto threshold is a software rule, not a demonstrated false-negative reduction until it is evaluated on independent labeled data [P2].</w:t>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7"/>
                    <a:stretch>
                      <a:fillRect/>
                    </a:stretch>
                  </pic:blipFill>
                  <pic:spPr bwMode="auto">
                    <a:xfrm>
                      <a:off x="0" y="0"/>
                      <a:ext cx="6080760" cy="2871470"/>
                    </a:xfrm>
                    <a:prstGeom prst="rect">
                      <a:avLst/>
                    </a:prstGeom>
                    <a:noFill/>
                  </pic:spPr>
                </pic:pic>
              </a:graphicData>
            </a:graphic>
          </wp:inline>
        </w:drawing>
      </w:r>
    </w:p>
    <w:p>
      <w:pPr>
        <w:pStyle w:val="Caption"/>
        <w:spacing w:lineRule="auto" w:line="360"/>
        <w:jc w:val="center"/>
        <w:rPr>
          <w:rFonts w:ascii="Times New Roman" w:hAnsi="Times New Roman"/>
        </w:rPr>
      </w:pPr>
      <w:r>
        <w:rPr>
          <w:rFonts w:ascii="Times New Roman" w:hAnsi="Times New Roman"/>
        </w:rPr>
        <w:t>Figure 5.2. Implemented fusion rule, including dynamic modality coverage and biometric veto behavior.</w:t>
      </w:r>
    </w:p>
    <w:p>
      <w:pPr>
        <w:pStyle w:val="Heading2"/>
        <w:spacing w:lineRule="auto" w:line="360"/>
        <w:rPr>
          <w:rFonts w:ascii="Times New Roman" w:hAnsi="Times New Roman"/>
        </w:rPr>
      </w:pPr>
      <w:r>
        <w:rPr>
          <w:rFonts w:ascii="Times New Roman" w:hAnsi="Times New Roman"/>
        </w:rPr>
        <w:t>5.5 Analytical Fusion Examples</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376"/>
        <w:gridCol w:w="2952"/>
        <w:gridCol w:w="1656"/>
        <w:gridCol w:w="2015"/>
      </w:tblGrid>
      <w:tr>
        <w:trPr>
          <w:tblHeader w:val="true"/>
        </w:trPr>
        <w:tc>
          <w:tcPr>
            <w:tcW w:w="237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Illustrative inputs</w:t>
            </w:r>
          </w:p>
        </w:tc>
        <w:tc>
          <w:tcPr>
            <w:tcW w:w="295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Implemented rule</w:t>
            </w:r>
          </w:p>
        </w:tc>
        <w:tc>
          <w:tcPr>
            <w:tcW w:w="165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Illustrative output</w:t>
            </w:r>
          </w:p>
        </w:tc>
        <w:tc>
          <w:tcPr>
            <w:tcW w:w="2015"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Interpretation</w:t>
            </w:r>
          </w:p>
        </w:tc>
      </w:tr>
      <w:tr>
        <w:trPr/>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0.998; audio 0.004; video 0.416</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No biometric score reaches 0.85; equal mean</w:t>
            </w:r>
          </w:p>
        </w:tc>
        <w:tc>
          <w:tcPr>
            <w:tcW w:w="165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0.4727 (47.27%)</w:t>
            </w:r>
          </w:p>
        </w:tc>
        <w:tc>
          <w:tcPr>
            <w:tcW w:w="2015"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Below the 0.50 decision boundary; arithmetic illustration only.</w:t>
            </w:r>
          </w:p>
        </w:tc>
      </w:tr>
      <w:tr>
        <w:trPr/>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0.0001; audio 1.000; video absent</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 veto fires; return max available score</w:t>
            </w:r>
          </w:p>
        </w:tc>
        <w:tc>
          <w:tcPr>
            <w:tcW w:w="165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1.0000 (100%)</w:t>
            </w:r>
          </w:p>
        </w:tc>
        <w:tc>
          <w:tcPr>
            <w:tcW w:w="2015"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Threat under the configured boundary; rule illustration only.</w:t>
            </w:r>
          </w:p>
        </w:tc>
      </w:tr>
    </w:tbl>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eastAsia="Times New Roman" w:ascii="Times New Roman" w:hAnsi="Times New Roman"/>
          <w:i w:val="false"/>
          <w:sz w:val="24"/>
        </w:rPr>
        <w:t>These calculations are derived from the current fusion function. They are not measured detector outputs or a benchmark result, and must not be described as experimental cases unless the corresponding inputs are linked to actual labeled test records.</w:t>
      </w:r>
    </w:p>
    <w:p>
      <w:pPr>
        <w:pStyle w:val="Heading2"/>
        <w:spacing w:lineRule="auto" w:line="360"/>
        <w:rPr>
          <w:rFonts w:ascii="Times New Roman" w:hAnsi="Times New Roman"/>
        </w:rPr>
      </w:pPr>
      <w:r>
        <w:rPr>
          <w:rFonts w:ascii="Times New Roman" w:hAnsi="Times New Roman"/>
        </w:rPr>
      </w:r>
    </w:p>
    <w:p>
      <w:pPr>
        <w:pStyle w:val="Normal"/>
        <w:spacing w:lineRule="auto" w:line="360"/>
        <w:rPr>
          <w:rFonts w:ascii="Times New Roman" w:hAnsi="Times New Roman"/>
        </w:rPr>
      </w:pPr>
      <w:r>
        <w:rPr>
          <w:rFonts w:ascii="Times New Roman" w:hAnsi="Times New Roman"/>
        </w:rPr>
      </w:r>
    </w:p>
    <w:p>
      <w:pPr>
        <w:pStyle w:val="Heading2"/>
        <w:spacing w:lineRule="auto" w:line="360"/>
        <w:rPr>
          <w:rFonts w:ascii="Times New Roman" w:hAnsi="Times New Roman"/>
        </w:rPr>
      </w:pPr>
      <w:r>
        <w:rPr>
          <w:rFonts w:ascii="Times New Roman" w:hAnsi="Times New Roman"/>
        </w:rPr>
        <w:t>5.6 Workflow Algorithm</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1. Receive text, audio, video, or any supported combination.</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2. Validate request size, file type, and supported evidence.</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3. Run each available local sensor and record processed, failed, unavailable, or omitted status.</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4. Calibrate the video probability using the loaded threshold when a face score is available.</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5. Apply the audio/video veto or normalized equal-weight score to the successful sensor outputs.</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6. Compare the unified score with the 0.50 threat boundary and return the score, label, indicators, and sensor status.</w:t>
      </w:r>
    </w:p>
    <w:p>
      <w:pPr>
        <w:pStyle w:val="Normal"/>
        <w:spacing w:lineRule="auto" w:line="360" w:before="0" w:after="100"/>
        <w:ind w:hanging="216" w:left="432"/>
        <w:rPr>
          <w:rFonts w:ascii="Times New Roman" w:hAnsi="Times New Roman" w:eastAsia="Times New Roman"/>
          <w:sz w:val="24"/>
        </w:rPr>
      </w:pPr>
      <w:r>
        <w:rPr>
          <w:rFonts w:eastAsia="Times New Roman" w:ascii="Times New Roman" w:hAnsi="Times New Roman"/>
          <w:sz w:val="24"/>
        </w:rPr>
        <w:t>7. Save lightweight report metadata in the browser when a scan succeeds; generate a PDF locally when requested.</w:t>
      </w:r>
    </w:p>
    <w:p>
      <w:pPr>
        <w:pStyle w:val="Normal"/>
        <w:spacing w:lineRule="auto" w:line="360" w:before="0" w:after="100"/>
        <w:ind w:hanging="216" w:left="432"/>
        <w:rPr>
          <w:rFonts w:ascii="Times New Roman" w:hAnsi="Times New Roman" w:eastAsia="Times New Roman"/>
          <w:sz w:val="24"/>
        </w:rPr>
      </w:pPr>
      <w:r>
        <w:rPr>
          <w:rFonts w:eastAsia="Times New Roman" w:ascii="Times New Roman" w:hAnsi="Times New Roman"/>
          <w:sz w:val="24"/>
        </w:rPr>
      </w:r>
    </w:p>
    <w:p>
      <w:pPr>
        <w:pStyle w:val="Heading2"/>
        <w:spacing w:lineRule="auto" w:line="360"/>
        <w:rPr>
          <w:rFonts w:ascii="Times New Roman" w:hAnsi="Times New Roman"/>
        </w:rPr>
      </w:pPr>
      <w:r>
        <w:rPr>
          <w:rFonts w:ascii="Times New Roman" w:hAnsi="Times New Roman"/>
        </w:rPr>
        <w:t>5.7 Design Considerations</w:t>
      </w:r>
    </w:p>
    <w:p>
      <w:pPr>
        <w:pStyle w:val="Normal"/>
        <w:spacing w:lineRule="auto" w:line="360" w:before="0" w:after="100"/>
        <w:rPr>
          <w:rFonts w:ascii="Times New Roman" w:hAnsi="Times New Roman"/>
        </w:rPr>
      </w:pPr>
      <w:r>
        <w:rPr>
          <w:rFonts w:eastAsia="Times New Roman" w:ascii="Times New Roman" w:hAnsi="Times New Roman"/>
          <w:i w:val="false"/>
          <w:sz w:val="24"/>
        </w:rPr>
        <w:t>The system is a decision-support prototype. Model confidence values are not automatically calibrated probabilities of real-world harm. Partial-input fusion changes the denominator and therefore the meaning of the aggregate score. A false or unavailable sensor can alter coverage. The UI should expose the sensor statuses and score provenance, and the report should preserve per-sensor scores rather than presenting only the final decision.</w:t>
      </w:r>
      <w:r>
        <w:rPr>
          <w:rFonts w:ascii="Times New Roman" w:hAnsi="Times New Roman"/>
        </w:rPr>
        <w:t xml:space="preserve"> These design choices also affect how the result should be read. When one or more sensors are absent, the normalized mean is calculated over a different set of terms; the score therefore reflects a different evidence coverage. A sensor failure is not equivalent to a zero threat score, and a missing score should not be hidden. Likewise, a model confidence value is not necessarily calibrated to the probability of a real attack. The interface and report should preserve the modality-specific values and statuses so that an analyst can judge the scope of the result.</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6  IMPLEMENTATION AND DEVELOPMENT</w:t>
      </w:r>
    </w:p>
    <w:p>
      <w:pPr>
        <w:pStyle w:val="Heading2"/>
        <w:spacing w:lineRule="auto" w:line="360"/>
        <w:rPr>
          <w:rFonts w:ascii="Times New Roman" w:hAnsi="Times New Roman"/>
        </w:rPr>
      </w:pPr>
      <w:r>
        <w:rPr>
          <w:rFonts w:ascii="Times New Roman" w:hAnsi="Times New Roman"/>
        </w:rPr>
        <w:t>6.1 System Components</w:t>
      </w:r>
    </w:p>
    <w:p>
      <w:pPr>
        <w:pStyle w:val="Normal"/>
        <w:spacing w:lineRule="auto" w:line="360" w:before="0" w:after="100"/>
        <w:rPr>
          <w:rFonts w:ascii="Times New Roman" w:hAnsi="Times New Roman"/>
        </w:rPr>
      </w:pPr>
      <w:r>
        <w:rPr>
          <w:rFonts w:eastAsia="Times New Roman" w:ascii="Times New Roman" w:hAnsi="Times New Roman"/>
          <w:i w:val="false"/>
          <w:sz w:val="24"/>
        </w:rPr>
        <w:t>The project contains a React and TypeScript frontend, a FastAPI backend, local PyTorch checkpoints, and a Docker Compose configuration for a two-container deployment. The frontend uses a relative API path. During development, Vite proxies requests to the backend; in the container deployment, Nginx forwards API traffic to the backend service over the Compose network [P4].</w:t>
      </w:r>
      <w:r>
        <w:rPr>
          <w:rFonts w:ascii="Times New Roman" w:hAnsi="Times New Roman"/>
        </w:rPr>
        <w:t xml:space="preserve"> The two-service structure keeps model execution in the API container and static interface delivery in the frontend container. In the configured deployment, the browser sends relative `/api` requests to Nginx, which forwards them to FastAPI on the private Compose network. Model files are mounted read-only and the backend is configured for offline model loading. This separation is operationally convenient, but it does not establish that the host has no external network connectivity or that the deployment has been independently security-audited.</w:t>
      </w:r>
    </w:p>
    <w:p>
      <w:pPr>
        <w:pStyle w:val="Heading2"/>
        <w:spacing w:lineRule="auto" w:line="360"/>
        <w:rPr>
          <w:rFonts w:ascii="Times New Roman" w:hAnsi="Times New Roman"/>
        </w:rPr>
      </w:pPr>
      <w:r>
        <w:rPr>
          <w:rFonts w:ascii="Times New Roman" w:hAnsi="Times New Roman"/>
        </w:rPr>
        <w:t>6.2 Backend API</w:t>
      </w:r>
    </w:p>
    <w:tbl>
      <w:tblPr>
        <w:tblW w:w="8928"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3312"/>
        <w:gridCol w:w="1152"/>
        <w:gridCol w:w="4464"/>
      </w:tblGrid>
      <w:tr>
        <w:trPr>
          <w:tblHeader w:val="true"/>
        </w:trPr>
        <w:tc>
          <w:tcPr>
            <w:tcW w:w="331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Endpoint</w:t>
            </w:r>
          </w:p>
        </w:tc>
        <w:tc>
          <w:tcPr>
            <w:tcW w:w="115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Method</w:t>
            </w:r>
          </w:p>
        </w:tc>
        <w:tc>
          <w:tcPr>
            <w:tcW w:w="446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Purpose</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/api/health</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GET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Reports backend and local model availability.</w:t>
            </w:r>
          </w:p>
        </w:tc>
      </w:tr>
      <w:tr>
        <w:trPr/>
        <w:tc>
          <w:tcPr>
            <w:tcW w:w="331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/api/analyze/email</w:t>
            </w:r>
          </w:p>
        </w:tc>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Analyzes email text.</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/api/analyze/audio</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Analyzes an audio upload.</w:t>
            </w:r>
          </w:p>
        </w:tc>
      </w:tr>
      <w:tr>
        <w:trPr/>
        <w:tc>
          <w:tcPr>
            <w:tcW w:w="331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/api/analyze/video</w:t>
            </w:r>
          </w:p>
        </w:tc>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Analyzes a video upload.</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/api/analyze/multi-modal</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Analyzes any submitted combination of email text, audio, and video.</w:t>
            </w:r>
          </w:p>
        </w:tc>
      </w:tr>
    </w:tbl>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eastAsia="Times New Roman" w:ascii="Times New Roman" w:hAnsi="Times New Roman"/>
          <w:i w:val="false"/>
          <w:sz w:val="24"/>
        </w:rPr>
        <w:t>The API response contains an analysis ID, analysis type, status, prediction label and score, score type, model name, summary, indicators, creation time, and modality status. File handling applies extension, size, and duration controls. The API attempts each supplied sensor independently and can return a partial status if one sensor fails while others succeed [P1].</w:t>
      </w:r>
      <w:r>
        <w:rPr>
          <w:rFonts w:ascii="Times New Roman" w:hAnsi="Times New Roman"/>
        </w:rPr>
        <w:t xml:space="preserve"> The shared response shape allows the interface to render single-modality and fusion results consistently. The analysis identifier can be used to find the browser-side report record; the prediction object carries a label and score; and modality status indicates whether an input was processed. A partial response is meaningful: it lets the client report a successful sensor alongside another sensor’s failure rather than discarding all output. Operators should still inspect backend logs for diagnostic detail and avoid exposing stack traces to analysts.</w:t>
      </w:r>
    </w:p>
    <w:p>
      <w:pPr>
        <w:pStyle w:val="Heading2"/>
        <w:spacing w:lineRule="auto" w:line="360"/>
        <w:rPr>
          <w:rFonts w:ascii="Times New Roman" w:hAnsi="Times New Roman"/>
        </w:rPr>
      </w:pPr>
      <w:r>
        <w:rPr>
          <w:rFonts w:ascii="Times New Roman" w:hAnsi="Times New Roman"/>
        </w:rPr>
        <w:t>6.3 Email Inference</w:t>
      </w:r>
    </w:p>
    <w:p>
      <w:pPr>
        <w:pStyle w:val="Normal"/>
        <w:spacing w:lineRule="auto" w:line="360" w:before="0" w:after="100"/>
        <w:rPr>
          <w:rFonts w:ascii="Times New Roman" w:hAnsi="Times New Roman"/>
        </w:rPr>
      </w:pPr>
      <w:r>
        <w:rPr>
          <w:rFonts w:eastAsia="Times New Roman" w:ascii="Times New Roman" w:hAnsi="Times New Roman"/>
          <w:i w:val="false"/>
          <w:sz w:val="24"/>
        </w:rPr>
        <w:t>The backend loads a locally stored DistilBERT sequence-classification model and tokenizer. It tokenizes text to a maximum sequence length of 256, applies a softmax, and uses class index 1 as the phishing score. The single-modality email endpoint and fusion indicator use a 0.50 threshold. The classification checkpoint is stored under models/final/phishing_email.</w:t>
      </w:r>
    </w:p>
    <w:p>
      <w:pPr>
        <w:pStyle w:val="Heading2"/>
        <w:spacing w:lineRule="auto" w:line="360"/>
        <w:rPr>
          <w:rFonts w:ascii="Times New Roman" w:hAnsi="Times New Roman"/>
        </w:rPr>
      </w:pPr>
      <w:r>
        <w:rPr>
          <w:rFonts w:ascii="Times New Roman" w:hAnsi="Times New Roman"/>
        </w:rPr>
        <w:t>6.4 Audio Inference</w:t>
      </w:r>
    </w:p>
    <w:p>
      <w:pPr>
        <w:pStyle w:val="Normal"/>
        <w:spacing w:lineRule="auto" w:line="360" w:before="0" w:after="100"/>
        <w:rPr>
          <w:rFonts w:ascii="Times New Roman" w:hAnsi="Times New Roman"/>
        </w:rPr>
      </w:pPr>
      <w:r>
        <w:rPr>
          <w:rFonts w:eastAsia="Times New Roman" w:ascii="Times New Roman" w:hAnsi="Times New Roman"/>
          <w:i w:val="false"/>
          <w:sz w:val="24"/>
        </w:rPr>
        <w:t>Audio is decoded at 16 kHz and transformed into a 40 by 300 MFCC matrix with 2,048-point FFT and 512-point hop. The CNN contains three convolution, batch-normalization, ReLU, and max-pooling stages with 32, 64, and 128 channels, followed by a 256-unit fully connected layer, dropout, and a single logit. The sigmoid score is treated as spoof confidence; the operational classification boundary is 0.45. The saved checkpoint is models/final/audio_detector/audio_cnn_model.pth.</w:t>
      </w:r>
    </w:p>
    <w:p>
      <w:pPr>
        <w:pStyle w:val="Heading2"/>
        <w:spacing w:lineRule="auto" w:line="360"/>
        <w:rPr>
          <w:rFonts w:ascii="Times New Roman" w:hAnsi="Times New Roman"/>
        </w:rPr>
      </w:pPr>
      <w:r>
        <w:rPr>
          <w:rFonts w:ascii="Times New Roman" w:hAnsi="Times New Roman"/>
        </w:rPr>
        <w:t>6.5 Video Inference</w:t>
      </w:r>
    </w:p>
    <w:p>
      <w:pPr>
        <w:pStyle w:val="Normal"/>
        <w:spacing w:lineRule="auto" w:line="360" w:before="0" w:after="100"/>
        <w:rPr>
          <w:rFonts w:ascii="Times New Roman" w:hAnsi="Times New Roman"/>
        </w:rPr>
      </w:pPr>
      <w:r>
        <w:rPr>
          <w:rFonts w:eastAsia="Times New Roman" w:ascii="Times New Roman" w:hAnsi="Times New Roman"/>
          <w:i w:val="false"/>
          <w:sz w:val="24"/>
        </w:rPr>
        <w:t>The video model is an EfficientNet-B0 with a replaced classifier head. MTCNN detects faces in sampled frames; face detections above 0.90 confidence are cropped and normalized. The backend averages up to five face-crop scores. The raw model score is shifted in logit space by a calibration threshold. The code falls back to 0.7920 if no valid calibration file is available; a raw score equal to the calibration threshold maps to a calibrated score of 0.50. A present calibration file overrides this legacy threshold. The checkpoint is models/final/video_detector/model.safetensors_2.</w:t>
      </w:r>
      <w:r>
        <w:rPr>
          <w:rFonts w:ascii="Times New Roman" w:hAnsi="Times New Roman"/>
        </w:rPr>
        <w:t xml:space="preserve"> The calibration transformation is a score re-centering operation, not evidence that the video model is statistically calibrated. In the absence of a validation-derived calibration artifact, the configured fallback value of 0.7920 is used. A score equal to that threshold maps to 0.50, but this mathematical property does not demonstrate a suitable operating point. The report therefore treats the value as a software fallback and calls for a validation-only threshold-selection record before presenting a calibrated test result.</w:t>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8"/>
                    <a:stretch>
                      <a:fillRect/>
                    </a:stretch>
                  </pic:blipFill>
                  <pic:spPr bwMode="auto">
                    <a:xfrm>
                      <a:off x="0" y="0"/>
                      <a:ext cx="6080760" cy="2871470"/>
                    </a:xfrm>
                    <a:prstGeom prst="rect">
                      <a:avLst/>
                    </a:prstGeom>
                    <a:noFill/>
                  </pic:spPr>
                </pic:pic>
              </a:graphicData>
            </a:graphic>
          </wp:inline>
        </w:drawing>
      </w:r>
    </w:p>
    <w:p>
      <w:pPr>
        <w:pStyle w:val="Caption"/>
        <w:spacing w:lineRule="auto" w:line="360"/>
        <w:jc w:val="center"/>
        <w:rPr>
          <w:rFonts w:ascii="Times New Roman" w:hAnsi="Times New Roman"/>
        </w:rPr>
      </w:pPr>
      <w:r>
        <w:rPr>
          <w:rFonts w:ascii="Times New Roman" w:hAnsi="Times New Roman"/>
        </w:rPr>
        <w:t>Figure 6.1. Modality-specific inference pipelines used by the current prototype.</w:t>
      </w:r>
    </w:p>
    <w:p>
      <w:pPr>
        <w:pStyle w:val="Heading2"/>
        <w:spacing w:lineRule="auto" w:line="360"/>
        <w:rPr>
          <w:rFonts w:ascii="Times New Roman" w:hAnsi="Times New Roman"/>
        </w:rPr>
      </w:pPr>
      <w:r>
        <w:rPr>
          <w:rFonts w:ascii="Times New Roman" w:hAnsi="Times New Roman"/>
        </w:rPr>
        <w:t>6.6 Fusion and User Interface</w:t>
      </w:r>
    </w:p>
    <w:p>
      <w:pPr>
        <w:pStyle w:val="Normal"/>
        <w:spacing w:lineRule="auto" w:line="360" w:before="0" w:after="100"/>
        <w:rPr>
          <w:rFonts w:ascii="Times New Roman" w:hAnsi="Times New Roman"/>
        </w:rPr>
      </w:pPr>
      <w:r>
        <w:rPr>
          <w:rFonts w:eastAsia="Times New Roman" w:ascii="Times New Roman" w:hAnsi="Times New Roman"/>
          <w:i w:val="false"/>
          <w:sz w:val="24"/>
        </w:rPr>
        <w:t>The fusion function in src/fusion.py uses equal nominal weights of 0.3333, renormalizes over available sensors, and applies a veto at 0.85 for audio or video. The React interface exposes Dashboard, Email Intelligence, Audio Forensics, Video Forensics, multi-modal Fusion, Threat Reports, and Settings pages. The browser-side report module saves lightweight metadata in localStorage and creates a jsPDF document locally; it does not send PDF content to a server [P2, P5].</w:t>
      </w:r>
    </w:p>
    <w:p>
      <w:pPr>
        <w:pStyle w:val="Heading2"/>
        <w:spacing w:lineRule="auto" w:line="360"/>
        <w:rPr>
          <w:rFonts w:ascii="Times New Roman" w:hAnsi="Times New Roman"/>
        </w:rPr>
      </w:pPr>
      <w:r>
        <w:rPr>
          <w:rFonts w:ascii="Times New Roman" w:hAnsi="Times New Roman"/>
        </w:rPr>
        <w:t>6.7 Deployment and Privacy</w:t>
      </w:r>
    </w:p>
    <w:p>
      <w:pPr>
        <w:pStyle w:val="Normal"/>
        <w:spacing w:lineRule="auto" w:line="360" w:before="0" w:after="100"/>
        <w:rPr>
          <w:rFonts w:ascii="Times New Roman" w:hAnsi="Times New Roman"/>
        </w:rPr>
      </w:pPr>
      <w:r>
        <w:rPr>
          <w:rFonts w:eastAsia="Times New Roman" w:ascii="Times New Roman" w:hAnsi="Times New Roman"/>
          <w:i w:val="false"/>
          <w:sz w:val="24"/>
        </w:rPr>
        <w:t>Docker Compose defines separate FastAPI and Nginx/React services, mounts model weights read-only, enables Hugging Face offline mode, and publishes the UI on loopback by default. This supports local operation after image dependencies and weights are present. It is not sufficient by itself to certify an air gap: host firewall, network routes, dependency supply chain, and machine configuration remain outside the application code. The report therefore describes the application as local inference and does not claim externally audited isolation.</w:t>
      </w:r>
      <w:r>
        <w:rPr>
          <w:rFonts w:ascii="Times New Roman" w:hAnsi="Times New Roman"/>
        </w:rPr>
        <w:t xml:space="preserve"> The deployment should be described as local, because the application-level configuration alone cannot guarantee host isolation. A complete air-gap claim would require checking the machine’s network interfaces, routes, firewall rules, container networking, update process, and any mounted or shared services. Similarly, local model loading prevents inference requests from depending on a remote model API, but initial image builds and package installation may need network access. This report limits its privacy statement to the configured local processing path and does not imply an external security certification.</w:t>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
                    <pic:cNvPicPr>
                      <a:picLocks noChangeAspect="1" noChangeArrowheads="1"/>
                    </pic:cNvPicPr>
                  </pic:nvPicPr>
                  <pic:blipFill>
                    <a:blip r:embed="rId9"/>
                    <a:stretch>
                      <a:fillRect/>
                    </a:stretch>
                  </pic:blipFill>
                  <pic:spPr bwMode="auto">
                    <a:xfrm>
                      <a:off x="0" y="0"/>
                      <a:ext cx="6080760" cy="2871470"/>
                    </a:xfrm>
                    <a:prstGeom prst="rect">
                      <a:avLst/>
                    </a:prstGeom>
                    <a:noFill/>
                  </pic:spPr>
                </pic:pic>
              </a:graphicData>
            </a:graphic>
          </wp:inline>
        </w:drawing>
      </w:r>
    </w:p>
    <w:p>
      <w:pPr>
        <w:pStyle w:val="Caption"/>
        <w:spacing w:lineRule="auto" w:line="360"/>
        <w:jc w:val="center"/>
        <w:rPr>
          <w:rFonts w:ascii="Times New Roman" w:hAnsi="Times New Roman"/>
        </w:rPr>
      </w:pPr>
      <w:r>
        <w:rPr>
          <w:rFonts w:ascii="Times New Roman" w:hAnsi="Times New Roman"/>
        </w:rPr>
        <w:t>Figure 6.2. Two-container local deployment and the boundary of the application’s privacy claims.</w:t>
      </w:r>
    </w:p>
    <w:p>
      <w:pPr>
        <w:pStyle w:val="Heading2"/>
        <w:spacing w:lineRule="auto" w:line="360"/>
        <w:rPr>
          <w:rFonts w:ascii="Times New Roman" w:hAnsi="Times New Roman"/>
        </w:rPr>
      </w:pPr>
      <w:r>
        <w:rPr>
          <w:rFonts w:ascii="Times New Roman" w:hAnsi="Times New Roman"/>
        </w:rPr>
        <w:t>6.8 Reproducibility and Testing Status</w:t>
      </w:r>
    </w:p>
    <w:p>
      <w:pPr>
        <w:pStyle w:val="Normal"/>
        <w:spacing w:lineRule="auto" w:line="360" w:before="0" w:after="100"/>
        <w:rPr>
          <w:rFonts w:ascii="Times New Roman" w:hAnsi="Times New Roman"/>
        </w:rPr>
      </w:pPr>
      <w:r>
        <w:rPr>
          <w:rFonts w:eastAsia="Times New Roman" w:ascii="Times New Roman" w:hAnsi="Times New Roman"/>
          <w:i w:val="false"/>
          <w:sz w:val="24"/>
        </w:rPr>
        <w:t>The repository contains model weights, source notebooks, backend and frontend code, an email diagnostic prediction export, an audio reconstructed diagnostic export, and a benchmark runner with a paired-manifest contract. The available email and audio exports include run metadata but have unresolved checkpoint or split lineage, so they support diagnostic re-scoring rather than unqualified held-out estimates. The snapshot contains no active-checkpoint video test export and no completed authentic paired-fusion run. These gaps limit performance claims even though the application inference pipeline is implemented.</w:t>
      </w:r>
      <w:r>
        <w:rPr>
          <w:rFonts w:ascii="Times New Roman" w:hAnsi="Times New Roman"/>
        </w:rPr>
        <w:t xml:space="preserve"> The distinction is important for the final academic claims. Email and audio outputs can be reproduced from the files presently stored in the repository, but an output file does not reveal whether its records influenced training, early stopping, or threshold choice. The video model has a training log excerpt, yet the random frame-tensor split does not preserve source-video groups and does not document a held-out test result for the active checkpoint. Fusion remains unmeasured on coherent paired cases. The report accordingly treats the saved predictions as diagnostic evidence and records the remaining provenance work explicitly.</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7  RESULTS AND DISCUSSION</w:t>
      </w:r>
    </w:p>
    <w:p>
      <w:pPr>
        <w:pStyle w:val="Heading2"/>
        <w:spacing w:lineRule="auto" w:line="360"/>
        <w:rPr>
          <w:rFonts w:ascii="Times New Roman" w:hAnsi="Times New Roman"/>
        </w:rPr>
      </w:pPr>
      <w:r>
        <w:rPr>
          <w:rFonts w:ascii="Times New Roman" w:hAnsi="Times New Roman"/>
        </w:rPr>
        <w:t>7.1 Email Result Available in the Project</w:t>
      </w:r>
    </w:p>
    <w:p>
      <w:pPr>
        <w:pStyle w:val="Normal"/>
        <w:spacing w:lineRule="auto" w:line="360" w:before="0" w:after="100"/>
        <w:rPr>
          <w:rFonts w:ascii="Times New Roman" w:hAnsi="Times New Roman"/>
        </w:rPr>
      </w:pPr>
      <w:r>
        <w:rPr>
          <w:rFonts w:eastAsia="Times New Roman" w:ascii="Times New Roman" w:hAnsi="Times New Roman"/>
          <w:i w:val="false"/>
          <w:sz w:val="24"/>
        </w:rPr>
        <w:t>The repository now includes outputs/reports/email_test_predictions.csv and email_test_metrics.json, a current-checkpoint re-score of the saved 3,508-row email test split. At threshold 0.50 the counts are TP=1,308, TN=2,023, FP=173, and FN=4, yielding 94.95% accuracy, 88.32% precision, 99.70% recall, 7.88% FPR, and 0.30% FNR. The checkpoint hash and dataset hash are recorded, but the metric file explicitly says the checkpoint’s training and model-selection provenance is unverified. This is therefore a diagnostic re-score, not proven held-out performance. The earlier Colab report states 98.80%, while its archived counts imply 98.69%; the current re-score does not resolve which checkpoint generated that older result.</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880"/>
        <w:gridCol w:w="2879"/>
        <w:gridCol w:w="3313"/>
      </w:tblGrid>
      <w:tr>
        <w:trPr>
          <w:tblHeader w:val="true"/>
        </w:trPr>
        <w:tc>
          <w:tcPr>
            <w:tcW w:w="2880"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rFonts w:ascii="Times New Roman" w:hAnsi="Times New Roman"/>
              </w:rPr>
            </w:pPr>
            <w:r>
              <w:rPr>
                <w:rFonts w:eastAsia="Times New Roman" w:ascii="Times New Roman" w:hAnsi="Times New Roman"/>
                <w:sz w:val="24"/>
              </w:rPr>
              <w:t>Evidence source</w:t>
            </w:r>
          </w:p>
        </w:tc>
        <w:tc>
          <w:tcPr>
            <w:tcW w:w="2879"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rFonts w:ascii="Times New Roman" w:hAnsi="Times New Roman"/>
              </w:rPr>
            </w:pPr>
            <w:r>
              <w:rPr>
                <w:rFonts w:eastAsia="Times New Roman" w:ascii="Times New Roman" w:hAnsi="Times New Roman"/>
                <w:sz w:val="24"/>
              </w:rPr>
              <w:t>Recorded value</w:t>
            </w:r>
          </w:p>
        </w:tc>
        <w:tc>
          <w:tcPr>
            <w:tcW w:w="3313"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rFonts w:ascii="Times New Roman" w:hAnsi="Times New Roman"/>
              </w:rPr>
            </w:pPr>
            <w:r>
              <w:rPr>
                <w:rFonts w:eastAsia="Times New Roman" w:ascii="Times New Roman" w:hAnsi="Times New Roman"/>
                <w:sz w:val="24"/>
              </w:rPr>
              <w:t>Interpretation</w:t>
            </w:r>
          </w:p>
        </w:tc>
      </w:tr>
      <w:tr>
        <w:trPr/>
        <w:tc>
          <w:tcPr>
            <w:tcW w:w="2880"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Email current-checkpoint re-score</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N=3,508; TP 1,308; TN 2,023; FP 173; FN 4; accuracy 94.95%.</w:t>
            </w:r>
          </w:p>
        </w:tc>
        <w:tc>
          <w:tcPr>
            <w:tcW w:w="331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Prediction CSV and run metadata exist; checkpoint training provenance is unverified, so treat as diagnostic.</w:t>
            </w:r>
          </w:p>
        </w:tc>
      </w:tr>
      <w:tr>
        <w:trPr/>
        <w:tc>
          <w:tcPr>
            <w:tcW w:w="2880"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ascii="Times New Roman" w:hAnsi="Times New Roman"/>
                <w:sz w:val="24"/>
              </w:rPr>
              <w:t>Email unclipped subset</w:t>
            </w:r>
          </w:p>
        </w:tc>
        <w:tc>
          <w:tcPr>
            <w:tcW w:w="2879"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ascii="Times New Roman" w:hAnsi="Times New Roman"/>
                <w:sz w:val="24"/>
              </w:rPr>
              <w:t>N=3,507; FP 172; accuracy 94.98%; FPR 7.84%.</w:t>
            </w:r>
          </w:p>
        </w:tc>
        <w:tc>
          <w:tcPr>
            <w:tcW w:w="331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ascii="Times New Roman" w:hAnsi="Times New Roman"/>
                <w:sz w:val="24"/>
              </w:rPr>
              <w:t>The one clipped input changes the current score minimally; clipping does not explain the historical gap.</w:t>
            </w:r>
          </w:p>
        </w:tc>
      </w:tr>
      <w:tr>
        <w:trPr/>
        <w:tc>
          <w:tcPr>
            <w:tcW w:w="2880"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Earlier Colab email report</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Headline accuracy 98.80%; archived counts imply 98.69%.</w:t>
            </w:r>
          </w:p>
        </w:tc>
        <w:tc>
          <w:tcPr>
            <w:tcW w:w="331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Separate historical run; active checkpoint lineage is not established and the two summaries disagree.</w:t>
            </w:r>
          </w:p>
        </w:tc>
      </w:tr>
      <w:tr>
        <w:trPr/>
        <w:tc>
          <w:tcPr>
            <w:tcW w:w="2880"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Audio reconstructed re-score</w:t>
            </w:r>
          </w:p>
        </w:tc>
        <w:tc>
          <w:tcPr>
            <w:tcW w:w="2879"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N=500; TP 448; TN 46; FP 5; FN 1; accuracy 98.8%; FPR 9.80%.</w:t>
            </w:r>
          </w:p>
        </w:tc>
        <w:tc>
          <w:tcPr>
            <w:tcW w:w="331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Random sample split with no source IDs; only 51 genuine test records; diagnostic only.</w:t>
            </w:r>
          </w:p>
        </w:tc>
      </w:tr>
      <w:tr>
        <w:trPr/>
        <w:tc>
          <w:tcPr>
            <w:tcW w:w="2880"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Video and multi-modal fusion</w:t>
            </w:r>
          </w:p>
        </w:tc>
        <w:tc>
          <w:tcPr>
            <w:tcW w:w="2879"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No active-checkpoint video test report; no authentic paired-fusion run.</w:t>
            </w:r>
          </w:p>
        </w:tc>
        <w:tc>
          <w:tcPr>
            <w:tcW w:w="331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Do not report video accuracy or fusion benefit from current evidence.</w:t>
            </w:r>
          </w:p>
        </w:tc>
      </w:tr>
    </w:tbl>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eastAsia="Times New Roman" w:ascii="Times New Roman" w:hAnsi="Times New Roman"/>
          <w:i w:val="false"/>
          <w:sz w:val="24"/>
        </w:rPr>
        <w:t>An unclipped diagnostic excludes the one input exceeding the configured API character limit (N=3,507; TP=1,308, TN=2,023, FP=172, FN=4) and yields 94.98% accuracy and 7.84% FPR. This small change shows that clipping does not explain the gap from the older Colab headline. The earlier classification report and archived confusion matrix remain inconsistent, and the training lineage behind both historic artifacts is not established.</w:t>
      </w:r>
    </w:p>
    <w:p>
      <w:pPr>
        <w:pStyle w:val="Heading2"/>
        <w:spacing w:lineRule="auto" w:line="360"/>
        <w:rPr>
          <w:rFonts w:ascii="Times New Roman" w:hAnsi="Times New Roman"/>
        </w:rPr>
      </w:pPr>
      <w:r>
        <w:rPr>
          <w:rFonts w:ascii="Times New Roman" w:hAnsi="Times New Roman"/>
        </w:rPr>
        <w:t>7.2 Audio and Video Results</w:t>
      </w:r>
    </w:p>
    <w:p>
      <w:pPr>
        <w:pStyle w:val="Normal"/>
        <w:spacing w:lineRule="auto" w:line="360" w:before="0" w:after="100"/>
        <w:rPr>
          <w:rFonts w:ascii="Times New Roman" w:hAnsi="Times New Roman"/>
        </w:rPr>
      </w:pPr>
      <w:r>
        <w:rPr>
          <w:rFonts w:eastAsia="Times New Roman" w:ascii="Times New Roman" w:hAnsi="Times New Roman"/>
          <w:i w:val="false"/>
          <w:sz w:val="24"/>
        </w:rPr>
        <w:t>The repository includes an audio reconstructed re-score at outputs/reports/audio_reconstructed_test_metrics.json and its per-row output CSV. On N=500 random sample rows (449 spoof, 51 genuine), both the 0.50 notebook-comparison boundary and 0.45 deployed boundary produce TP=448, TN=46, FP=5, FN=1; accuracy is 98.8%, FPR 9.80%, and FNR 0.22%. The small genuine denominator, absence of speaker/session IDs, and unverified mapping between this checkpoint and the supplied Colab run make this diagnostic only. No active-checkpoint video test report is present. Audio 0.45 and video fallback tau 0.7920 (recentered to a 0.50 decision boundary) are implementation settings, not evidence of benchmark performance.</w:t>
      </w:r>
    </w:p>
    <w:p>
      <w:pPr>
        <w:pStyle w:val="Heading2"/>
        <w:spacing w:lineRule="auto" w:line="360"/>
        <w:rPr>
          <w:rFonts w:ascii="Times New Roman" w:hAnsi="Times New Roman"/>
        </w:rPr>
      </w:pPr>
      <w:r>
        <w:rPr>
          <w:rFonts w:ascii="Times New Roman" w:hAnsi="Times New Roman"/>
        </w:rPr>
        <w:t>7.3 multi-modal Fusion Results</w:t>
      </w:r>
    </w:p>
    <w:p>
      <w:pPr>
        <w:pStyle w:val="Normal"/>
        <w:spacing w:lineRule="auto" w:line="360" w:before="0" w:after="100"/>
        <w:rPr>
          <w:rFonts w:ascii="Times New Roman" w:hAnsi="Times New Roman"/>
        </w:rPr>
      </w:pPr>
      <w:r>
        <w:rPr>
          <w:rFonts w:eastAsia="Times New Roman" w:ascii="Times New Roman" w:hAnsi="Times New Roman"/>
          <w:i w:val="false"/>
          <w:sz w:val="24"/>
        </w:rPr>
        <w:t>The fusion function is implemented, but no completed paired held-out evaluation artifacts were found in outputs/reports. Historical ablation rows in the project are explicitly identified as unverified because their former pipeline combined unrelated modality records and selected a video threshold on the scoring records [P8]. The current runner requires curated paired scenarios and creates metrics, prediction, and run-metadata outputs; those outputs are not present. The earlier percentages such as 99.1% accuracy and 0.4% false-negative rate are therefore omitted as measured claims.</w:t>
      </w:r>
    </w:p>
    <w:p>
      <w:pPr>
        <w:pStyle w:val="Normal"/>
        <w:spacing w:lineRule="auto" w:line="360" w:before="0" w:after="100"/>
        <w:rPr>
          <w:rFonts w:ascii="Times New Roman" w:hAnsi="Times New Roman"/>
        </w:rPr>
      </w:pPr>
      <w:r>
        <w:rPr>
          <w:rFonts w:eastAsia="Times New Roman" w:ascii="Times New Roman" w:hAnsi="Times New Roman"/>
          <w:i w:val="false"/>
          <w:sz w:val="24"/>
        </w:rPr>
        <w:t>The examples in Chapter 8 demonstrate how the code behaves for selected numeric inputs. They validate arithmetic by inspection only. They do not establish sensor detection, fault tolerance on real attacks, or improved accuracy across the seven modality subsets.</w:t>
      </w:r>
    </w:p>
    <w:p>
      <w:pPr>
        <w:pStyle w:val="Heading2"/>
        <w:spacing w:lineRule="auto" w:line="360"/>
        <w:rPr>
          <w:rFonts w:ascii="Times New Roman" w:hAnsi="Times New Roman"/>
        </w:rPr>
      </w:pPr>
      <w:r>
        <w:rPr>
          <w:rFonts w:ascii="Times New Roman" w:hAnsi="Times New Roman"/>
        </w:rPr>
        <w:t>7.4 Integrated System Results</w:t>
      </w:r>
    </w:p>
    <w:p>
      <w:pPr>
        <w:pStyle w:val="Normal"/>
        <w:spacing w:lineRule="auto" w:line="360" w:before="0" w:after="100"/>
        <w:rPr>
          <w:rFonts w:ascii="Times New Roman" w:hAnsi="Times New Roman"/>
        </w:rPr>
      </w:pPr>
      <w:r>
        <w:rPr>
          <w:rFonts w:eastAsia="Times New Roman" w:ascii="Times New Roman" w:hAnsi="Times New Roman"/>
          <w:i w:val="false"/>
          <w:sz w:val="24"/>
        </w:rPr>
        <w:t>The implementation provides separate inference endpoints, a multi-modal endpoint, health reporting, modality-level status, a dashboard, forensic scanners, local report history, and client-side PDF generation. Docker Compose configuration describes a local two-service deployment. No independently audited security test, sustained-load result, or measured latency report is present in this snapshot. Functional availability should therefore be demonstrated separately from detection quality.</w:t>
      </w:r>
    </w:p>
    <w:p>
      <w:pPr>
        <w:pStyle w:val="Heading2"/>
        <w:spacing w:lineRule="auto" w:line="360"/>
        <w:rPr>
          <w:rFonts w:ascii="Times New Roman" w:hAnsi="Times New Roman"/>
        </w:rPr>
      </w:pPr>
      <w:r>
        <w:rPr>
          <w:rFonts w:ascii="Times New Roman" w:hAnsi="Times New Roman"/>
        </w:rPr>
        <w:t>7.5 Discussion</w:t>
      </w:r>
    </w:p>
    <w:p>
      <w:pPr>
        <w:pStyle w:val="Normal"/>
        <w:spacing w:lineRule="auto" w:line="360" w:before="0" w:after="100"/>
        <w:rPr>
          <w:rFonts w:ascii="Times New Roman" w:hAnsi="Times New Roman"/>
        </w:rPr>
      </w:pPr>
      <w:r>
        <w:rPr>
          <w:rFonts w:eastAsia="Times New Roman" w:ascii="Times New Roman" w:hAnsi="Times New Roman"/>
          <w:i w:val="false"/>
          <w:sz w:val="24"/>
        </w:rPr>
        <w:t>The current evidence is stronger than an implementation-only description because sample-level diagnostic re-scores now exist for email and audio. Their exact counts and run metadata are reproducible from the project outputs, but the email checkpoint lineage and audio source grouping remain unresolved. The audio estimate is particularly imprecise for benign speech because only 51 genuine test rows are available. No video test metrics or authentic paired fusion results are available. The appropriate contribution is therefore the functioning architecture and a documented evaluation protocol, not an accuracy advantage. Threshold selection, group separation, coverage, class balance, and training-data overlap must be resolved before stronger research claims are made.</w:t>
      </w:r>
      <w:r>
        <w:rPr>
          <w:rFonts w:ascii="Times New Roman" w:hAnsi="Times New Roman"/>
        </w:rPr>
        <w:t xml:space="preserve"> The available artifacts support a careful but useful conclusion. The current email output includes a prediction row for each sample, while the audio output provides a reconstructed 500-row diagnostic with a very small benign denominator. The unclipped email check changed little, which rules out the single over-length input as the main source of the difference from the older result. At the same time, checkpoint-to-split lineage remains unresolved for email, and the audio reconstruction lacks source IDs. These limits prevent the point estimates from being generalized to new organizations or recording sources. No video test metrics or authentic paired fusion evaluation are available, so comparative multi-modal benefit remains an open research question.</w:t>
      </w:r>
      <w:r>
        <w:br w:type="page"/>
      </w:r>
    </w:p>
    <w:p>
      <w:pPr>
        <w:pStyle w:val="Normal"/>
        <w:keepNext w:val="true"/>
        <w:spacing w:lineRule="auto" w:line="360" w:before="0" w:after="140"/>
        <w:jc w:val="center"/>
        <w:rPr>
          <w:sz w:val="24"/>
          <w:szCs w:val="24"/>
        </w:rPr>
      </w:pPr>
      <w:r>
        <w:rPr>
          <w:rFonts w:eastAsia="Times New Roman"/>
          <w:b/>
          <w:sz w:val="24"/>
          <w:szCs w:val="24"/>
        </w:rPr>
        <w:t>SYNTHGUARD: A MULTI-MODAL THREAT INTELLIGENCE AND DEEPFAKE DEFENSE ARCHITECTURE</w:t>
      </w:r>
    </w:p>
    <w:p>
      <w:pPr>
        <w:pStyle w:val="Normal"/>
        <w:keepNext w:val="true"/>
        <w:spacing w:lineRule="auto" w:line="360" w:before="0" w:after="40"/>
        <w:jc w:val="center"/>
        <w:rPr>
          <w:b w:val="false"/>
          <w:bCs w:val="false"/>
          <w:sz w:val="24"/>
          <w:szCs w:val="24"/>
        </w:rPr>
      </w:pPr>
      <w:r>
        <w:rPr>
          <w:rFonts w:eastAsia="Times New Roman"/>
          <w:b w:val="false"/>
          <w:bCs w:val="false"/>
          <w:sz w:val="24"/>
          <w:szCs w:val="24"/>
        </w:rPr>
        <w:t xml:space="preserve">Jay Shravan Kumar Sharma, Roll No. TYCS47, </w:t>
      </w:r>
      <w:r>
        <w:rPr>
          <w:rFonts w:eastAsia="Times New Roman"/>
          <w:b w:val="false"/>
          <w:bCs w:val="false"/>
          <w:sz w:val="24"/>
          <w:szCs w:val="24"/>
        </w:rPr>
        <w:t>T.</w:t>
      </w:r>
      <w:r>
        <w:rPr>
          <w:rFonts w:eastAsia="Times New Roman"/>
          <w:b w:val="false"/>
          <w:bCs w:val="false"/>
          <w:sz w:val="24"/>
          <w:szCs w:val="24"/>
        </w:rPr>
        <w:t>Y.B.Sc. Computer Science SEMESTER V</w:t>
      </w:r>
    </w:p>
    <w:p>
      <w:pPr>
        <w:pStyle w:val="Normal"/>
        <w:keepNext w:val="true"/>
        <w:spacing w:lineRule="auto" w:line="360" w:before="0" w:after="40"/>
        <w:jc w:val="center"/>
        <w:rPr>
          <w:b/>
          <w:bCs/>
          <w:sz w:val="24"/>
          <w:szCs w:val="24"/>
        </w:rPr>
      </w:pPr>
      <w:r>
        <w:rPr>
          <w:rFonts w:eastAsia="Times New Roman"/>
          <w:b/>
          <w:bCs/>
          <w:sz w:val="24"/>
          <w:szCs w:val="24"/>
        </w:rPr>
        <w:t xml:space="preserve">Department of Computer Science, Bhavan's College (Empowered Autonomous), </w:t>
      </w:r>
      <w:r>
        <w:rPr>
          <w:rFonts w:eastAsia="Times New Roman"/>
          <w:b/>
          <w:bCs/>
          <w:sz w:val="24"/>
          <w:szCs w:val="24"/>
        </w:rPr>
        <w:t>Andheri West</w:t>
      </w:r>
    </w:p>
    <w:p>
      <w:pPr>
        <w:pStyle w:val="Normal"/>
        <w:keepNext w:val="true"/>
        <w:spacing w:lineRule="auto" w:line="360" w:before="0" w:after="40"/>
        <w:jc w:val="center"/>
        <w:rPr>
          <w:rFonts w:eastAsia="Times New Roman"/>
        </w:rPr>
      </w:pPr>
      <w:r>
        <w:rPr>
          <w:rFonts w:eastAsia="Times New Roman"/>
          <w:b/>
          <w:bCs/>
          <w:sz w:val="24"/>
          <w:szCs w:val="24"/>
        </w:rPr>
        <w:t xml:space="preserve">Under the guidance of Mrs. Krupa Kamdar </w:t>
      </w:r>
    </w:p>
    <w:p>
      <w:pPr>
        <w:pStyle w:val="Normal"/>
        <w:keepNext w:val="true"/>
        <w:spacing w:lineRule="auto" w:line="360" w:before="160" w:after="60"/>
        <w:rPr>
          <w:sz w:val="24"/>
          <w:szCs w:val="24"/>
        </w:rPr>
      </w:pPr>
      <w:r>
        <w:rPr>
          <w:rFonts w:eastAsia="Times New Roman"/>
          <w:b/>
          <w:sz w:val="24"/>
          <w:szCs w:val="24"/>
        </w:rPr>
        <w:t>Abstract—</w:t>
      </w:r>
      <w:r>
        <w:rPr>
          <w:rFonts w:eastAsia="Times New Roman"/>
          <w:sz w:val="24"/>
          <w:szCs w:val="24"/>
        </w:rPr>
        <w:t xml:space="preserve"> Business email compromise and synthetic media attacks exploit trust across communication channels. SynthGuard is a locally deployed research prototype that routes email, audio, and video evidence to separate classifiers and combines the available scores through an interpretable late-fusion rule. The implementation comprises a DistilBERT email classifier, an MFCC-based convolutional audio model, an MTCNN face-detection stage with an EfficientNet-B0 video classifier, a FastAPI inference service, and a React analyst interface. This paper documents the current implementation and audits the evaluation evidence available for the active checkpoints. A current-checkpoint email re-score produced 94.95% accuracy on the saved 3,508-row test file. A reconstructed 500-row audio sample yielded 98.8% accuracy, but only 51 records were genuine; the resulting 9.80% false-positive rate is based on five errors and is too weakly supported to serve as a reliable operating estimate. Neither result has verified checkpoint-to-split lineage or source-disjoint provenance. The active video checkpoint has no documented held-out test metrics, and no genuinely paired multi-modal test set is available. These are diagnostic observations, not validated generalization estimates. SynthGuard demonstrates an integrated local workflow; comparative effectiveness remains open.</w:t>
      </w:r>
    </w:p>
    <w:p>
      <w:pPr>
        <w:pStyle w:val="Normal"/>
        <w:spacing w:lineRule="auto" w:line="360"/>
        <w:rPr>
          <w:sz w:val="24"/>
          <w:szCs w:val="24"/>
        </w:rPr>
      </w:pPr>
      <w:r>
        <w:rPr>
          <w:rFonts w:eastAsia="Times New Roman"/>
          <w:sz w:val="24"/>
          <w:szCs w:val="24"/>
        </w:rPr>
        <w:t>Keywords—business email compromise, phishing detection, speech spoofing, deepfake video, multi-modal late fusion, local inference, evaluation provenance.</w:t>
      </w:r>
    </w:p>
    <w:p>
      <w:pPr>
        <w:pStyle w:val="Heading1"/>
        <w:spacing w:lineRule="auto" w:line="360"/>
        <w:jc w:val="left"/>
        <w:rPr>
          <w:sz w:val="24"/>
          <w:szCs w:val="24"/>
        </w:rPr>
      </w:pPr>
      <w:r>
        <w:rPr>
          <w:sz w:val="24"/>
          <w:szCs w:val="24"/>
        </w:rPr>
        <w:t>I. INTRODUCTION</w:t>
      </w:r>
    </w:p>
    <w:p>
      <w:pPr>
        <w:pStyle w:val="Normal"/>
        <w:spacing w:lineRule="auto" w:line="360"/>
        <w:rPr>
          <w:sz w:val="24"/>
          <w:szCs w:val="24"/>
        </w:rPr>
      </w:pPr>
      <w:r>
        <w:rPr>
          <w:rFonts w:eastAsia="Times New Roman"/>
          <w:sz w:val="24"/>
          <w:szCs w:val="24"/>
        </w:rPr>
        <w:t>Business email compromise (BEC) attacks use impersonation, urgency, secrecy, and payment redirection to induce actions that routine spam filters may not identify. Synthetic speech and manipulated video can strengthen the impersonation by supplying apparently familiar biometric cues. These threats are related at the level of an investigation, but each data type exposes different evidence: language conveys intent, audio contains acoustic artifacts, and video contains spatial or temporal manipulation traces.</w:t>
      </w:r>
    </w:p>
    <w:p>
      <w:pPr>
        <w:pStyle w:val="Normal"/>
        <w:spacing w:lineRule="auto" w:line="360"/>
        <w:rPr>
          <w:sz w:val="24"/>
          <w:szCs w:val="24"/>
        </w:rPr>
      </w:pPr>
      <w:r>
        <w:rPr>
          <w:rFonts w:eastAsia="Times New Roman"/>
          <w:sz w:val="24"/>
          <w:szCs w:val="24"/>
        </w:rPr>
        <w:t>A practical analyst tool should support independent modality review and combined analysis when evidence is available. Combining scores, however, does not by itself establish that the inputs belong to the same incident, that the scores are calibrated to a common scale, or that an overall accuracy figure is meaningful. The study therefore treats implementation and evaluation as separate questions. The first is whether a local system can route the three evidence types through dedicated inference paths. The second is whether the resulting decisions generalize to unseen data and coherent multi-modal cases.</w:t>
      </w:r>
    </w:p>
    <w:p>
      <w:pPr>
        <w:pStyle w:val="Normal"/>
        <w:spacing w:lineRule="auto" w:line="360"/>
        <w:rPr>
          <w:sz w:val="24"/>
          <w:szCs w:val="24"/>
        </w:rPr>
      </w:pPr>
      <w:r>
        <w:rPr>
          <w:rFonts w:eastAsia="Times New Roman"/>
          <w:sz w:val="24"/>
          <w:szCs w:val="24"/>
        </w:rPr>
        <w:t>This work presents SynthGuard, a prototype that integrates local text, audio, and video detectors behind a FastAPI service and an analyst-facing React interface. The paper contributes: (1) a reproducible description of the implemented sensor and fusion paths; (2) an audit of the saved evaluation artifacts and checkpoint identity; and (3) a methodological analysis of why label-matched independent samples cannot establish multi-modal performance. It also specifies a source-disjoint, incident-paired evaluation protocol. The paper does not claim a validated multi-modal accuracy advantage.</w:t>
      </w:r>
    </w:p>
    <w:p>
      <w:pPr>
        <w:pStyle w:val="Normal"/>
        <w:spacing w:lineRule="auto" w:line="360"/>
        <w:rPr>
          <w:sz w:val="24"/>
          <w:szCs w:val="24"/>
        </w:rPr>
      </w:pPr>
      <w:r>
        <w:rPr>
          <w:rFonts w:eastAsia="Times New Roman"/>
          <w:sz w:val="24"/>
          <w:szCs w:val="24"/>
        </w:rPr>
        <w:t>The research is organized around three questions. RQ1 asks whether a single local application can process text, audio, and video through distinct inference paths while supporting missing modalities. RQ2 asks what performance evidence can be attributed to the checkpoints currently loaded by the application. RQ3 asks whether the implemented mean-and-veto rule has demonstrated an advantage over individual sensors. The repository establishes an implementation answer for RQ1 and provides qualified diagnostic evidence for RQ2. RQ3 remains unanswered as a performance question; the study’s methodological finding is that fusion claims require incident-level pairing and source-aware partitions, neither of which the available artifacts establish.</w:t>
      </w:r>
    </w:p>
    <w:p>
      <w:pPr>
        <w:pStyle w:val="Normal"/>
        <w:spacing w:lineRule="auto" w:line="360"/>
        <w:rPr>
          <w:sz w:val="24"/>
          <w:szCs w:val="24"/>
        </w:rPr>
      </w:pPr>
      <w:r>
        <w:rPr>
          <w:rFonts w:eastAsia="Times New Roman"/>
          <w:sz w:val="24"/>
          <w:szCs w:val="24"/>
        </w:rPr>
        <w:t>The intended use is analyst-assisted triage of uploaded communication evidence. The prototype is not designed to authenticate a sender, establish legal intent, inspect email attachments, verify transaction records, monitor live calls, or automatically block a payment. Its scores are indicators for human review rather than determinations of identity or fraud.</w:t>
      </w:r>
    </w:p>
    <w:p>
      <w:pPr>
        <w:pStyle w:val="Heading1"/>
        <w:spacing w:lineRule="auto" w:line="360"/>
        <w:jc w:val="left"/>
        <w:rPr>
          <w:sz w:val="24"/>
          <w:szCs w:val="24"/>
        </w:rPr>
      </w:pPr>
      <w:r>
        <w:rPr>
          <w:sz w:val="24"/>
          <w:szCs w:val="24"/>
        </w:rPr>
        <w:t>II. RELATED WORK</w:t>
      </w:r>
    </w:p>
    <w:p>
      <w:pPr>
        <w:pStyle w:val="Normal"/>
        <w:spacing w:lineRule="auto" w:line="360"/>
        <w:rPr>
          <w:sz w:val="24"/>
          <w:szCs w:val="24"/>
        </w:rPr>
      </w:pPr>
      <w:r>
        <w:rPr>
          <w:rFonts w:eastAsia="Times New Roman"/>
          <w:sz w:val="24"/>
          <w:szCs w:val="24"/>
        </w:rPr>
        <w:t>Transformer encoders have become common for contextual text classification. DistilBERT uses knowledge distillation to reduce model size and inference cost while retaining much of the representational capacity of BERT [1]. SynthGuard uses a fine-tuned DistilBERT sequence classifier for email text. This choice supports contextual analysis, but text classification can still overreact to benign terms or miss a new attack pattern; a score should be interpreted with the email and its organizational context.</w:t>
      </w:r>
    </w:p>
    <w:p>
      <w:pPr>
        <w:pStyle w:val="Normal"/>
        <w:spacing w:lineRule="auto" w:line="360"/>
        <w:rPr>
          <w:sz w:val="24"/>
          <w:szCs w:val="24"/>
        </w:rPr>
      </w:pPr>
      <w:r>
        <w:rPr>
          <w:rFonts w:eastAsia="Times New Roman"/>
          <w:sz w:val="24"/>
          <w:szCs w:val="24"/>
        </w:rPr>
        <w:t>Audio spoofing research is represented by the ASVspoof challenges, which provide bonafide and spoofed speech data, attack metadata, evaluation protocols, and baseline systems [2]. Mel-frequency cepstral coefficients (MFCCs) are a compact representation of short-time spectral shape originating in speech-recognition research [3]. SynthGuard extracts MFCC features and classifies them with a convolutional neural network. Results on a random sample split cannot be equated with performance under a speaker-, session-, or attack-disjoint protocol.</w:t>
      </w:r>
    </w:p>
    <w:p>
      <w:pPr>
        <w:pStyle w:val="Normal"/>
        <w:spacing w:lineRule="auto" w:line="360"/>
        <w:rPr>
          <w:sz w:val="24"/>
          <w:szCs w:val="24"/>
        </w:rPr>
      </w:pPr>
      <w:r>
        <w:rPr>
          <w:rFonts w:eastAsia="Times New Roman"/>
          <w:sz w:val="24"/>
          <w:szCs w:val="24"/>
        </w:rPr>
        <w:t>For video, FaceForensics++ provides manipulated facial imagery and explicitly studies compression effects [4]. MTCNN jointly detects and aligns faces through a cascaded multi-task network [5]. EfficientNet scales convolutional networks through coordinated depth, width, and resolution choices [6]. These methods motivate the face-crop pipeline used by SynthGuard, but published benchmark results for those methods are not evidence of this project checkpoint’s performance.</w:t>
      </w:r>
    </w:p>
    <w:p>
      <w:pPr>
        <w:pStyle w:val="Normal"/>
        <w:spacing w:lineRule="auto" w:line="360"/>
        <w:rPr>
          <w:sz w:val="24"/>
          <w:szCs w:val="24"/>
        </w:rPr>
      </w:pPr>
      <w:r>
        <w:rPr>
          <w:rFonts w:eastAsia="Times New Roman"/>
          <w:sz w:val="24"/>
          <w:szCs w:val="24"/>
        </w:rPr>
        <w:t>Classifier combination has a long history, including rules that aggregate separate classifier outputs [7]. Contemporary audio-visual deepfake work also studies feature-level and cross-modal relationships rather than assuming that independent classifier scores are directly comparable [8]. SynthGuard adopts a simpler score-level rule for transparency and partial-modality support. Its mean-and-veto rule is an engineering choice requiring evaluation against alternatives; it is not presented as a state-of-the-art fusion method.</w:t>
      </w:r>
    </w:p>
    <w:p>
      <w:pPr>
        <w:pStyle w:val="Heading1"/>
        <w:spacing w:lineRule="auto" w:line="360"/>
        <w:jc w:val="left"/>
        <w:rPr>
          <w:sz w:val="24"/>
          <w:szCs w:val="24"/>
        </w:rPr>
      </w:pPr>
      <w:r>
        <w:rPr>
          <w:sz w:val="24"/>
          <w:szCs w:val="24"/>
        </w:rPr>
        <w:t>III. RESEARCH DESIGN AND EVALUATION PROTOCOL</w:t>
      </w:r>
    </w:p>
    <w:p>
      <w:pPr>
        <w:pStyle w:val="Heading2"/>
        <w:spacing w:lineRule="auto" w:line="360"/>
        <w:rPr>
          <w:sz w:val="24"/>
          <w:szCs w:val="24"/>
        </w:rPr>
      </w:pPr>
      <w:r>
        <w:rPr>
          <w:sz w:val="24"/>
          <w:szCs w:val="24"/>
        </w:rPr>
        <w:t>A. Study design and unit of analysis</w:t>
      </w:r>
    </w:p>
    <w:p>
      <w:pPr>
        <w:pStyle w:val="Normal"/>
        <w:spacing w:lineRule="auto" w:line="360"/>
        <w:rPr>
          <w:sz w:val="24"/>
          <w:szCs w:val="24"/>
        </w:rPr>
      </w:pPr>
      <w:r>
        <w:rPr>
          <w:rFonts w:eastAsia="Times New Roman"/>
          <w:sz w:val="24"/>
          <w:szCs w:val="24"/>
        </w:rPr>
        <w:t>The implemented prototype is evaluated here through an artifact-based study: model configuration, preprocessing code, checkpoints, saved predictions, evaluation summaries, and analyst-interface outputs are inspected together. A prediction row is the unit of analysis for single-modality re-scores. A multi-modal case must instead be defined as one coherent incident with one or more corresponding evidence items; it cannot be created by matching unrelated records because they share a threat label. The current project artifacts do not contain a verified paired incident set, so the paper separates software integration observations from classifier-performance estimates.</w:t>
      </w:r>
    </w:p>
    <w:p>
      <w:pPr>
        <w:pStyle w:val="Heading2"/>
        <w:spacing w:lineRule="auto" w:line="360"/>
        <w:rPr>
          <w:sz w:val="24"/>
          <w:szCs w:val="24"/>
        </w:rPr>
      </w:pPr>
      <w:r>
        <w:rPr>
          <w:sz w:val="24"/>
          <w:szCs w:val="24"/>
        </w:rPr>
        <w:t>B. Data records and partition provenance</w:t>
      </w:r>
    </w:p>
    <w:p>
      <w:pPr>
        <w:pStyle w:val="Normal"/>
        <w:spacing w:lineRule="auto" w:line="360"/>
        <w:rPr>
          <w:sz w:val="24"/>
          <w:szCs w:val="24"/>
        </w:rPr>
      </w:pPr>
      <w:r>
        <w:rPr>
          <w:rFonts w:eastAsia="Times New Roman"/>
          <w:sz w:val="24"/>
          <w:szCs w:val="24"/>
        </w:rPr>
        <w:t>The email evaluation file contains 3,508 labeled records. The available training code loads prebuilt train and test pickle objects, while the active checkpoint was later updated for additional threat patterns. The artifact bundle records hashes for the current test file and checkpoint, but does not provide a complete lineage proving that the current weights were selected without access to this test split. This distinction matters: reproducible scoring of a file is not equivalent to an independent test when model selection may have used the same examples.</w:t>
      </w:r>
    </w:p>
    <w:p>
      <w:pPr>
        <w:pStyle w:val="Normal"/>
        <w:spacing w:lineRule="auto" w:line="360"/>
        <w:rPr>
          <w:sz w:val="24"/>
          <w:szCs w:val="24"/>
        </w:rPr>
      </w:pPr>
      <w:r>
        <w:rPr>
          <w:rFonts w:eastAsia="Times New Roman"/>
          <w:sz w:val="24"/>
          <w:szCs w:val="24"/>
        </w:rPr>
        <w:t>The audio feature cache contains 181,566 rows distributed across ten serialized batches. The reconstruction script follows the documented lexicographic file order and recreates a 500-row stratified sample-level test partition using random_state 42. It has no speaker, session, or source identifiers. The video training record describes a random partition of 10,000 face tensors, but the saved log does not preserve an actor, source-video, or clip grouping manifest. A stronger evaluation would assign all samples from each email thread or campaign, speaker/session, and source video to exactly one partition before extracting windows, frames, or derivative features.</w:t>
      </w:r>
    </w:p>
    <w:p>
      <w:pPr>
        <w:pStyle w:val="Heading2"/>
        <w:spacing w:lineRule="auto" w:line="360"/>
        <w:rPr>
          <w:sz w:val="24"/>
          <w:szCs w:val="24"/>
        </w:rPr>
      </w:pPr>
      <w:r>
        <w:rPr>
          <w:sz w:val="24"/>
          <w:szCs w:val="24"/>
        </w:rPr>
        <w:t>C. Scoring procedure and thresholds</w:t>
      </w:r>
    </w:p>
    <w:p>
      <w:pPr>
        <w:pStyle w:val="Normal"/>
        <w:spacing w:lineRule="auto" w:line="360"/>
        <w:rPr>
          <w:sz w:val="24"/>
          <w:szCs w:val="24"/>
        </w:rPr>
      </w:pPr>
      <w:r>
        <w:rPr>
          <w:rFonts w:eastAsia="Times New Roman"/>
          <w:sz w:val="24"/>
          <w:szCs w:val="24"/>
        </w:rPr>
        <w:t>For the diagnostic email re-score, every row in the saved test file was sent to the active local API and labeled at a 0.50 score threshold. The evaluation record notes one input clipped at the API limit; both inclusive and unclipped counts are retained. The audio reconstruction was scored at both 0.50, matching the notebook validation decision rule, and 0.45, the backend operating threshold. The two thresholds yield identical decisions on the reconstructed sample, but this coincidence does not validate either threshold for other populations. The active video checkpoint has no test score file. Its configured 0.7920 raw-score recentering value is not re-estimated from the evaluated records in this study.</w:t>
      </w:r>
    </w:p>
    <w:p>
      <w:pPr>
        <w:pStyle w:val="Heading2"/>
        <w:spacing w:lineRule="auto" w:line="360"/>
        <w:rPr>
          <w:sz w:val="24"/>
          <w:szCs w:val="24"/>
        </w:rPr>
      </w:pPr>
      <w:r>
        <w:rPr>
          <w:sz w:val="24"/>
          <w:szCs w:val="24"/>
        </w:rPr>
        <w:t>D. Measures and uncertainty</w:t>
      </w:r>
    </w:p>
    <w:p>
      <w:pPr>
        <w:pStyle w:val="Normal"/>
        <w:spacing w:lineRule="auto" w:line="360"/>
        <w:rPr>
          <w:sz w:val="24"/>
          <w:szCs w:val="24"/>
        </w:rPr>
      </w:pPr>
      <w:r>
        <w:rPr>
          <w:rFonts w:eastAsia="Times New Roman"/>
          <w:sz w:val="24"/>
          <w:szCs w:val="24"/>
        </w:rPr>
        <w:t>Threat is treated as the positive class. Accuracy summarizes overall agreement, while precision and recall describe threat alerts and detected threats; FPR measures benign records incorrectly flagged, and FNR measures missed threats. For speech anti-spoof research, equal error rate can provide a threshold-independent operating summary when computed from a complete labeled score set. The local audio notebook records validation EER across epochs, but its test portion is not scored there and its selected checkpoint state is not independently preserved in the excerpt. The present paper therefore reports the reconstructed test confusion counts rather than using that validation EER as a test result.</w:t>
      </w:r>
    </w:p>
    <w:p>
      <w:pPr>
        <w:pStyle w:val="Normal"/>
        <w:spacing w:lineRule="auto" w:line="360"/>
        <w:rPr>
          <w:sz w:val="24"/>
          <w:szCs w:val="24"/>
        </w:rPr>
      </w:pPr>
      <w:r>
        <w:rPr>
          <w:rFonts w:eastAsia="Times New Roman"/>
          <w:sz w:val="24"/>
          <w:szCs w:val="24"/>
        </w:rPr>
        <w:t>A confirmatory study should freeze preprocessing, weights, and thresholds before test scoring; report support and uncertainty intervals alongside each metric; and use source-group bootstrap resampling where records share an actor, speaker, thread, or source clip. It should report per-sample prediction files and checkpoint hashes so aggregate values can be independently recomputed. Fusion results should be stratified by each available modality subset, since coverage and error rates can differ substantially between email-only, biometric-only, and genuinely multi-modal cases.</w:t>
      </w:r>
    </w:p>
    <w:p>
      <w:pPr>
        <w:pStyle w:val="Heading2"/>
        <w:spacing w:lineRule="auto" w:line="360"/>
        <w:rPr>
          <w:sz w:val="24"/>
          <w:szCs w:val="24"/>
        </w:rPr>
      </w:pPr>
      <w:r>
        <w:rPr>
          <w:sz w:val="24"/>
          <w:szCs w:val="24"/>
        </w:rPr>
        <w:t>E. Reproducibility criteria</w:t>
      </w:r>
    </w:p>
    <w:p>
      <w:pPr>
        <w:pStyle w:val="Normal"/>
        <w:spacing w:lineRule="auto" w:line="360"/>
        <w:rPr>
          <w:sz w:val="24"/>
          <w:szCs w:val="24"/>
        </w:rPr>
      </w:pPr>
      <w:r>
        <w:rPr>
          <w:rFonts w:eastAsia="Times New Roman"/>
          <w:sz w:val="24"/>
          <w:szCs w:val="24"/>
        </w:rPr>
        <w:t>A result is considered traceable when its report identifies the exact test manifest and hash, active checkpoint hash, preprocessing version, threshold, label mapping, sample count, confusion matrix, and code revision. For group-aware testing, it also records the grouping key and demonstrates no group overlap between train, validation, and test. The current email and audio re-score artifacts satisfy several reporting requirements, including per-sample outputs and model/file hashes, but not all lineage and group-separation criteria. The video and fusion results lack the required test artifacts. This protocol guides interpretation of the evidence below and the next reproducible evaluation run.</w:t>
      </w:r>
    </w:p>
    <w:p>
      <w:pPr>
        <w:pStyle w:val="Heading1"/>
        <w:spacing w:lineRule="auto" w:line="360"/>
        <w:jc w:val="left"/>
        <w:rPr>
          <w:sz w:val="24"/>
          <w:szCs w:val="24"/>
        </w:rPr>
      </w:pPr>
      <w:r>
        <w:rPr>
          <w:sz w:val="24"/>
          <w:szCs w:val="24"/>
        </w:rPr>
        <w:t>IV. SYSTEM ARCHITECTURE AND METHODS</w:t>
      </w:r>
    </w:p>
    <w:p>
      <w:pPr>
        <w:pStyle w:val="Normal"/>
        <w:spacing w:lineRule="auto" w:line="360"/>
        <w:rPr>
          <w:sz w:val="24"/>
          <w:szCs w:val="24"/>
        </w:rPr>
      </w:pPr>
      <w:r>
        <w:rPr>
          <w:rFonts w:eastAsia="Times New Roman"/>
          <w:sz w:val="24"/>
          <w:szCs w:val="24"/>
        </w:rPr>
        <w:t>The application has three layers. The React client accepts text and media, displays modality-specific outputs, and requests analyses from the local API. FastAPI validates requests, stores uploaded media in temporary files for inference, and dispatches each present modality to its model. The inference layer loads local model weights and returns scores, verdicts, identifiers, timestamps, and forensic indicators. Docker Compose packages the frontend and backend for local operation [9]. The configuration uses local inference services and does not call a hosted model API; this software design alone does not prove that the host is physically air-gapped.</w:t>
      </w:r>
    </w:p>
    <w:tbl>
      <w:tblPr>
        <w:tblStyle w:val="TableGrid"/>
        <w:tblW w:w="900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656"/>
        <w:gridCol w:w="4680"/>
        <w:gridCol w:w="2664"/>
      </w:tblGrid>
      <w:tr>
        <w:trPr>
          <w:tblHeader w:val="true"/>
          <w:cantSplit w:val="true"/>
        </w:trPr>
        <w:tc>
          <w:tcPr>
            <w:tcW w:w="1656"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Evidence input</w:t>
            </w:r>
          </w:p>
        </w:tc>
        <w:tc>
          <w:tcPr>
            <w:tcW w:w="4680"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Processing path</w:t>
            </w:r>
          </w:p>
        </w:tc>
        <w:tc>
          <w:tcPr>
            <w:tcW w:w="266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Output used by fusion</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text</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Tokenizer → fine-tuned DistilBERT → class-1 score</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threat score sₑ</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Audio file</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16 kHz resampling → 40 MFCCs → CNN → sigmoid</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Spoof score sₐ</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Video file</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Frame sampling → MTCNN face ROI → EfficientNet-B0 → mean score</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Manipulation score sᵥ</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Available scores</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Equal-weight normalized mean; audio/video veto at 0.85</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Final score and 0.50 decision</w:t>
            </w:r>
          </w:p>
        </w:tc>
      </w:tr>
    </w:tbl>
    <w:p>
      <w:pPr>
        <w:pStyle w:val="Normal"/>
        <w:spacing w:lineRule="auto" w:line="360" w:before="0" w:after="20"/>
        <w:rPr>
          <w:sz w:val="24"/>
          <w:szCs w:val="24"/>
        </w:rPr>
      </w:pPr>
      <w:r>
        <w:rPr>
          <w:sz w:val="24"/>
          <w:szCs w:val="24"/>
        </w:rPr>
      </w:r>
    </w:p>
    <w:p>
      <w:pPr>
        <w:pStyle w:val="Normal"/>
        <w:spacing w:lineRule="auto" w:line="360" w:before="0" w:after="120"/>
        <w:jc w:val="center"/>
        <w:rPr>
          <w:b/>
          <w:bCs/>
          <w:sz w:val="24"/>
          <w:szCs w:val="24"/>
        </w:rPr>
      </w:pPr>
      <w:r>
        <w:rPr>
          <w:b/>
          <w:bCs/>
          <w:i/>
          <w:sz w:val="24"/>
          <w:szCs w:val="24"/>
        </w:rPr>
        <w:t>Table I. SynthGuard inference path and outputs.</w:t>
      </w:r>
    </w:p>
    <w:p>
      <w:pPr>
        <w:pStyle w:val="Heading2"/>
        <w:spacing w:lineRule="auto" w:line="360"/>
        <w:rPr>
          <w:sz w:val="24"/>
          <w:szCs w:val="24"/>
        </w:rPr>
      </w:pPr>
      <w:r>
        <w:rPr>
          <w:sz w:val="24"/>
          <w:szCs w:val="24"/>
        </w:rPr>
        <w:t>A. Email sensor</w:t>
      </w:r>
    </w:p>
    <w:p>
      <w:pPr>
        <w:pStyle w:val="Normal"/>
        <w:spacing w:lineRule="auto" w:line="360"/>
        <w:rPr>
          <w:sz w:val="24"/>
          <w:szCs w:val="24"/>
        </w:rPr>
      </w:pPr>
      <w:r>
        <w:rPr>
          <w:rFonts w:eastAsia="Times New Roman"/>
          <w:sz w:val="24"/>
          <w:szCs w:val="24"/>
        </w:rPr>
        <w:t>The email endpoint tokenizes the submitted message and obtains class logits from the saved DistilBERT sequence classifier. The phishing-class probability is returned as a score. The current evaluation script sends each saved test record through the running API; one record exceeded the API character limit of 100,000 characters and was clipped. The reported full-file metrics therefore include one clipped input, while the accompanying unclipped metrics exclude it.</w:t>
      </w:r>
    </w:p>
    <w:p>
      <w:pPr>
        <w:pStyle w:val="Heading2"/>
        <w:spacing w:lineRule="auto" w:line="360"/>
        <w:rPr>
          <w:sz w:val="24"/>
          <w:szCs w:val="24"/>
        </w:rPr>
      </w:pPr>
      <w:r>
        <w:rPr>
          <w:sz w:val="24"/>
          <w:szCs w:val="24"/>
        </w:rPr>
        <w:t>B. Audio sensor</w:t>
      </w:r>
    </w:p>
    <w:p>
      <w:pPr>
        <w:pStyle w:val="Normal"/>
        <w:spacing w:lineRule="auto" w:line="360"/>
        <w:rPr>
          <w:sz w:val="24"/>
          <w:szCs w:val="24"/>
        </w:rPr>
      </w:pPr>
      <w:r>
        <w:rPr>
          <w:rFonts w:eastAsia="Times New Roman"/>
          <w:sz w:val="24"/>
          <w:szCs w:val="24"/>
        </w:rPr>
        <w:t>The audio pipeline converts audio to 16 kHz mono, computes 40 MFCC coefficients using an FFT size of 2,048 samples and a 512-sample hop, and pads or truncates the time axis to 300 frames. A three-block convolutional model returns a sigmoid score for spoof audio. The backend uses 0.45 as the operational decision threshold. The available feature batches preserve labels and row order but do not include speaker, session, or source-group identifiers.</w:t>
      </w:r>
    </w:p>
    <w:p>
      <w:pPr>
        <w:pStyle w:val="Heading2"/>
        <w:spacing w:lineRule="auto" w:line="360"/>
        <w:rPr>
          <w:sz w:val="24"/>
          <w:szCs w:val="24"/>
        </w:rPr>
      </w:pPr>
      <w:r>
        <w:rPr>
          <w:sz w:val="24"/>
          <w:szCs w:val="24"/>
        </w:rPr>
        <w:t>C. Video sensor</w:t>
      </w:r>
    </w:p>
    <w:p>
      <w:pPr>
        <w:pStyle w:val="Normal"/>
        <w:spacing w:lineRule="auto" w:line="360"/>
        <w:rPr>
          <w:sz w:val="24"/>
          <w:szCs w:val="24"/>
        </w:rPr>
      </w:pPr>
      <w:r>
        <w:rPr>
          <w:rFonts w:eastAsia="Times New Roman"/>
          <w:sz w:val="24"/>
          <w:szCs w:val="24"/>
        </w:rPr>
        <w:t>The video endpoint samples up to five frames, detects facial regions with MTCNN, resizes crops to 224 × 224, runs the active EfficientNet-B0 checkpoint, and averages the frame scores. The current backend loads model.safetensors_2. It transforms a raw score using sᵥ = σ(logit(sᵣₐw) − logit(τ)), after clipping the raw value away from zero and one. With the configured fallback τ = 0.7920, the transform maps that raw threshold to a displayed score of 0.50. No validation manifest or calibration record substantiating 0.7920 was found, so this is described as a configured score recentering, not a newly verified probability calibration.</w:t>
      </w:r>
    </w:p>
    <w:p>
      <w:pPr>
        <w:pStyle w:val="Heading2"/>
        <w:spacing w:lineRule="auto" w:line="360"/>
        <w:rPr>
          <w:sz w:val="24"/>
          <w:szCs w:val="24"/>
        </w:rPr>
      </w:pPr>
      <w:r>
        <w:rPr>
          <w:sz w:val="24"/>
          <w:szCs w:val="24"/>
        </w:rPr>
        <w:t>D. Late fusion and decision rule</w:t>
      </w:r>
    </w:p>
    <w:p>
      <w:pPr>
        <w:pStyle w:val="Normal"/>
        <w:spacing w:lineRule="auto" w:line="360"/>
        <w:rPr>
          <w:sz w:val="24"/>
          <w:szCs w:val="24"/>
        </w:rPr>
      </w:pPr>
      <w:r>
        <w:rPr>
          <w:rFonts w:eastAsia="Times New Roman"/>
          <w:sz w:val="24"/>
          <w:szCs w:val="24"/>
        </w:rPr>
        <w:t>Let M be the set of modalities included in an analysis, and let sᵢ be each modality score. The implementation assigns nominally equal weights and renormalizes them over M: Smean = Σᵢ∈M wᵢsᵢ / Σᵢ∈M wᵢ, where wᵢ = 0.3333. If audio or video reaches the veto threshold θ = 0.85, the implementation returns the maximum score among the available modalities; it does not unconditionally set the final score to 1.00. Otherwise it returns Smean. A score of at least 0.50 is labeled a threat. When only one modality is provided, the returned score represents that modality and is not evidence of fusion.</w:t>
      </w:r>
    </w:p>
    <w:p>
      <w:pPr>
        <w:pStyle w:val="Normal"/>
        <w:spacing w:lineRule="auto" w:line="360"/>
        <w:rPr>
          <w:sz w:val="24"/>
          <w:szCs w:val="24"/>
        </w:rPr>
      </w:pPr>
      <w:r>
        <w:rPr>
          <w:rFonts w:eastAsia="Times New Roman"/>
          <w:sz w:val="24"/>
          <w:szCs w:val="24"/>
        </w:rPr>
        <w:t>This rule is transparent and tolerant of missing inputs, but it assumes the scores have compatible meanings and ranges [10]. A detector’s sigmoid or softmax output is not automatically a calibrated probability. The veto can increase sensitivity to a high biometric score while also increasing false alarms; both effects must be measured on paired, held-out scenarios.</w:t>
      </w:r>
    </w:p>
    <w:p>
      <w:pPr>
        <w:pStyle w:val="Heading1"/>
        <w:spacing w:lineRule="auto" w:line="360"/>
        <w:jc w:val="left"/>
        <w:rPr>
          <w:sz w:val="24"/>
          <w:szCs w:val="24"/>
        </w:rPr>
      </w:pPr>
      <w:r>
        <w:rPr>
          <w:sz w:val="24"/>
          <w:szCs w:val="24"/>
        </w:rPr>
        <w:t>V. IMPLEMENTATION AND ANALYST WORKFLOW</w:t>
      </w:r>
    </w:p>
    <w:p>
      <w:pPr>
        <w:pStyle w:val="Normal"/>
        <w:spacing w:lineRule="auto" w:line="360"/>
        <w:rPr>
          <w:sz w:val="24"/>
          <w:szCs w:val="24"/>
        </w:rPr>
      </w:pPr>
      <w:r>
        <w:rPr>
          <w:rFonts w:eastAsia="Times New Roman"/>
          <w:sz w:val="24"/>
          <w:szCs w:val="24"/>
        </w:rPr>
        <w:t>The backend exposes independent endpoints and a multi-modal endpoint. File size, extension, and duration limits constrain uploads, and missing modalities are skipped. The user interface presents the score and status for each provided sensor, an overall verdict, and forensic indicators. A scan report can be exported as a PDF in the browser. Lightweight report metadata is stored in the browser’s localStorage for the analyst’s report-history view; uploaded frames and full media are not part of that local report-history record. This storage choice persists within the browser profile but is not a server-side audit database or a cross-device archive.</w:t>
      </w:r>
    </w:p>
    <w:p>
      <w:pPr>
        <w:pStyle w:val="Normal"/>
        <w:spacing w:lineRule="auto" w:line="360"/>
        <w:rPr>
          <w:sz w:val="24"/>
          <w:szCs w:val="24"/>
        </w:rPr>
      </w:pPr>
      <w:r>
        <w:rPr>
          <w:rFonts w:eastAsia="Times New Roman"/>
          <w:sz w:val="24"/>
          <w:szCs w:val="24"/>
        </w:rPr>
        <w:t>The dashboard presents operational readiness, model availability, and investigation entry points rather than benchmark accuracy. This separation avoids implying that a model-level diagnostic number is a production guarantee. The screenshots below document interface behavior only; the multi-modal example is not treated as an experimentally paired case.</w:t>
      </w:r>
    </w:p>
    <w:p>
      <w:pPr>
        <w:pStyle w:val="Normal"/>
        <w:keepNext w:val="true"/>
        <w:spacing w:lineRule="auto" w:line="360"/>
        <w:jc w:val="center"/>
        <w:rPr>
          <w:sz w:val="24"/>
          <w:szCs w:val="24"/>
        </w:rPr>
      </w:pPr>
      <w:r>
        <w:rPr>
          <w:sz w:val="24"/>
          <w:szCs w:val="24"/>
        </w:rPr>
        <w:drawing>
          <wp:inline distT="0" distB="0" distL="0" distR="0">
            <wp:extent cx="6277610" cy="3026410"/>
            <wp:effectExtent l="0" t="0" r="0" b="0"/>
            <wp:docPr id="9"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Copy 1" descr=""/>
                    <pic:cNvPicPr>
                      <a:picLocks noChangeAspect="1" noChangeArrowheads="1"/>
                    </pic:cNvPicPr>
                  </pic:nvPicPr>
                  <pic:blipFill>
                    <a:blip r:embed="rId10"/>
                    <a:stretch>
                      <a:fillRect/>
                    </a:stretch>
                  </pic:blipFill>
                  <pic:spPr bwMode="auto">
                    <a:xfrm>
                      <a:off x="0" y="0"/>
                      <a:ext cx="6277610" cy="3026410"/>
                    </a:xfrm>
                    <a:prstGeom prst="rect">
                      <a:avLst/>
                    </a:prstGeom>
                    <a:noFill/>
                  </pic:spPr>
                </pic:pic>
              </a:graphicData>
            </a:graphic>
          </wp:inline>
        </w:drawing>
      </w:r>
    </w:p>
    <w:p>
      <w:pPr>
        <w:pStyle w:val="Normal"/>
        <w:spacing w:lineRule="auto" w:line="360" w:before="0" w:after="140"/>
        <w:jc w:val="center"/>
        <w:rPr>
          <w:b/>
          <w:bCs/>
          <w:i/>
          <w:i/>
          <w:sz w:val="24"/>
          <w:szCs w:val="24"/>
        </w:rPr>
      </w:pPr>
      <w:r>
        <w:rPr>
          <w:b/>
          <w:bCs/>
          <w:i/>
          <w:sz w:val="24"/>
          <w:szCs w:val="24"/>
        </w:rPr>
        <w:t>Fig. 1. SynthGuard analyst dashboard. The interface communicates local workspace status and provides access to the modality workspaces.</w:t>
      </w:r>
    </w:p>
    <w:p>
      <w:pPr>
        <w:pStyle w:val="Normal"/>
        <w:spacing w:lineRule="auto" w:line="360" w:before="0" w:after="140"/>
        <w:jc w:val="center"/>
        <w:rPr>
          <w:b/>
          <w:bCs/>
          <w:i/>
          <w:i/>
          <w:sz w:val="24"/>
          <w:szCs w:val="24"/>
        </w:rPr>
      </w:pPr>
      <w:r>
        <w:rPr>
          <w:b/>
          <w:bCs/>
          <w:i/>
          <w:sz w:val="24"/>
          <w:szCs w:val="24"/>
        </w:rPr>
      </w:r>
    </w:p>
    <w:p>
      <w:pPr>
        <w:pStyle w:val="Normal"/>
        <w:keepNext w:val="true"/>
        <w:spacing w:lineRule="auto" w:line="360"/>
        <w:jc w:val="center"/>
        <w:rPr>
          <w:sz w:val="24"/>
          <w:szCs w:val="24"/>
        </w:rPr>
      </w:pPr>
      <w:r>
        <w:rPr>
          <w:sz w:val="24"/>
          <w:szCs w:val="24"/>
        </w:rPr>
        <w:drawing>
          <wp:inline distT="0" distB="0" distL="0" distR="0">
            <wp:extent cx="6372860" cy="3206750"/>
            <wp:effectExtent l="0" t="0" r="0" b="0"/>
            <wp:docPr id="10" name="Pictur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Copy 1" descr=""/>
                    <pic:cNvPicPr>
                      <a:picLocks noChangeAspect="1" noChangeArrowheads="1"/>
                    </pic:cNvPicPr>
                  </pic:nvPicPr>
                  <pic:blipFill>
                    <a:blip r:embed="rId11"/>
                    <a:stretch>
                      <a:fillRect/>
                    </a:stretch>
                  </pic:blipFill>
                  <pic:spPr bwMode="auto">
                    <a:xfrm>
                      <a:off x="0" y="0"/>
                      <a:ext cx="6372860" cy="3206750"/>
                    </a:xfrm>
                    <a:prstGeom prst="rect">
                      <a:avLst/>
                    </a:prstGeom>
                    <a:noFill/>
                  </pic:spPr>
                </pic:pic>
              </a:graphicData>
            </a:graphic>
          </wp:inline>
        </w:drawing>
      </w:r>
    </w:p>
    <w:p>
      <w:pPr>
        <w:pStyle w:val="Normal"/>
        <w:spacing w:lineRule="auto" w:line="360" w:before="0" w:after="140"/>
        <w:jc w:val="center"/>
        <w:rPr>
          <w:b/>
          <w:bCs/>
          <w:sz w:val="24"/>
          <w:szCs w:val="24"/>
        </w:rPr>
      </w:pPr>
      <w:r>
        <w:rPr>
          <w:b/>
          <w:bCs/>
          <w:i/>
          <w:sz w:val="24"/>
          <w:szCs w:val="24"/>
        </w:rPr>
        <w:t>Fig. 2. multi-modal analysis screen. The displayed email, audio, and video scores illustrate UI behavior only; the inputs are not established as a matched research sample.</w:t>
      </w:r>
    </w:p>
    <w:p>
      <w:pPr>
        <w:pStyle w:val="Heading1"/>
        <w:spacing w:lineRule="auto" w:line="360"/>
        <w:jc w:val="left"/>
        <w:rPr>
          <w:sz w:val="24"/>
          <w:szCs w:val="24"/>
        </w:rPr>
      </w:pPr>
      <w:r>
        <w:rPr>
          <w:sz w:val="24"/>
          <w:szCs w:val="24"/>
        </w:rPr>
      </w:r>
    </w:p>
    <w:p>
      <w:pPr>
        <w:pStyle w:val="Normal"/>
        <w:spacing w:lineRule="auto" w:line="360"/>
        <w:jc w:val="left"/>
        <w:rPr>
          <w:sz w:val="24"/>
          <w:szCs w:val="24"/>
        </w:rPr>
      </w:pPr>
      <w:r>
        <w:rPr>
          <w:sz w:val="24"/>
          <w:szCs w:val="24"/>
        </w:rPr>
      </w:r>
    </w:p>
    <w:p>
      <w:pPr>
        <w:pStyle w:val="Heading1"/>
        <w:spacing w:lineRule="auto" w:line="360"/>
        <w:jc w:val="left"/>
        <w:rPr>
          <w:sz w:val="24"/>
          <w:szCs w:val="24"/>
        </w:rPr>
      </w:pPr>
      <w:r>
        <w:rPr>
          <w:sz w:val="24"/>
          <w:szCs w:val="24"/>
        </w:rPr>
        <w:t>VI. EXPERIMENTAL EVIDENCE AND RESULTS</w:t>
      </w:r>
    </w:p>
    <w:p>
      <w:pPr>
        <w:pStyle w:val="Normal"/>
        <w:spacing w:lineRule="auto" w:line="360"/>
        <w:rPr>
          <w:sz w:val="24"/>
          <w:szCs w:val="24"/>
        </w:rPr>
      </w:pPr>
      <w:r>
        <w:rPr>
          <w:rFonts w:eastAsia="Times New Roman"/>
          <w:sz w:val="24"/>
          <w:szCs w:val="24"/>
        </w:rPr>
        <w:t>The evidence audit distinguishes earlier notebook outputs, current-checkpoint re-scores, and evaluations that have not yet been performed. Sample-level scores are available for the current email re-score and reconstructed audio split. The saved outputs include counts and run metadata. For both modalities, however, evidence tying the active checkpoint to training and model selection without use of the evaluated records is incomplete. These results are therefore diagnostic and should not be interpreted as unbiased estimates of performance on unseen populations.</w:t>
      </w:r>
    </w:p>
    <w:p>
      <w:pPr>
        <w:pStyle w:val="Heading2"/>
        <w:spacing w:lineRule="auto" w:line="360"/>
        <w:rPr>
          <w:sz w:val="24"/>
          <w:szCs w:val="24"/>
        </w:rPr>
      </w:pPr>
      <w:r>
        <w:rPr>
          <w:sz w:val="24"/>
          <w:szCs w:val="24"/>
        </w:rPr>
        <w:t>A. Email evidence</w:t>
      </w:r>
    </w:p>
    <w:p>
      <w:pPr>
        <w:pStyle w:val="Normal"/>
        <w:spacing w:lineRule="auto" w:line="360"/>
        <w:rPr>
          <w:sz w:val="24"/>
          <w:szCs w:val="24"/>
        </w:rPr>
      </w:pPr>
      <w:r>
        <w:rPr>
          <w:rFonts w:eastAsia="Times New Roman"/>
          <w:sz w:val="24"/>
          <w:szCs w:val="24"/>
        </w:rPr>
        <w:t>An earlier Colab email experiment reported 98.80% accuracy on 3,508 test rows and showed a confusion matrix with 2,175 true negatives, 21 false positives, 21 false negatives, and 1,291 true positives. That matrix sums to 3,508 and is arithmetically consistent with 98.80%. The notebook excerpt loads prebuilt train and test pickle files but does not provide their creation history or a hash linking its trained weights to the currently deployed checkpoint. This earlier result is not a verified held-out estimate for the active model.</w:t>
      </w:r>
    </w:p>
    <w:p>
      <w:pPr>
        <w:pStyle w:val="Normal"/>
        <w:spacing w:lineRule="auto" w:line="360"/>
        <w:rPr>
          <w:sz w:val="24"/>
          <w:szCs w:val="24"/>
        </w:rPr>
      </w:pPr>
      <w:r>
        <w:rPr>
          <w:rFonts w:eastAsia="Times New Roman"/>
          <w:sz w:val="24"/>
          <w:szCs w:val="24"/>
        </w:rPr>
        <w:t>The active checkpoint was separately rescored against the repository’s saved test file at a 0.50 threshold. Including the clipped long input, the 3,508-row confusion counts were TP = 1,308, TN = 2,023, FP = 173, and FN = 4, corresponding to 94.95% accuracy, 7.88% false-positive rate, and 0.30% false-negative rate. Excluding the clipped row gives n = 3,507, TP = 1,308, TN = 2,023, FP = 172, and FN = 4; accuracy is 94.98%. The saved report records the test-file hash and the checkpoint hash, but not training-split lineage. Accordingly, these are reproducible re-score outputs on the saved file, not proven out-of-sample metrics.</w:t>
      </w:r>
    </w:p>
    <w:p>
      <w:pPr>
        <w:pStyle w:val="Normal"/>
        <w:spacing w:lineRule="auto" w:line="360"/>
        <w:rPr>
          <w:color w:val="162A3C"/>
          <w:sz w:val="24"/>
          <w:szCs w:val="24"/>
          <w:highlight w:val="none"/>
          <w:shd w:fill="auto" w:val="clear"/>
        </w:rPr>
      </w:pPr>
      <w:r>
        <w:rPr>
          <w:b/>
          <w:bCs/>
          <w:color w:val="162A3C"/>
          <w:sz w:val="24"/>
          <w:szCs w:val="24"/>
          <w:shd w:fill="auto" w:val="clear"/>
        </w:rPr>
        <w:t>B. Audio evidence</w:t>
      </w:r>
    </w:p>
    <w:p>
      <w:pPr>
        <w:pStyle w:val="Normal"/>
        <w:spacing w:lineRule="auto" w:line="360"/>
        <w:rPr>
          <w:sz w:val="24"/>
          <w:szCs w:val="24"/>
        </w:rPr>
      </w:pPr>
      <w:r>
        <w:rPr>
          <w:rFonts w:eastAsia="Times New Roman"/>
          <w:sz w:val="24"/>
          <w:szCs w:val="24"/>
        </w:rPr>
        <w:t>The audio training procedure records 181,566 MFCC feature rows and constructs a 500-row stratified test index with random_state = 42. The excerpt creates train and validation loaders but never creates a test loader or reports test-set predictions. A local reconstruction of the 500-row index from the same feature order was scored with the active local audio checkpoint [12]. At the deployed threshold of 0.45, the counts were TP = 448, TN = 46, FP = 5, and FN = 1 (n = 500; 449 spoof and 51 genuine), for 98.8% accuracy. Only 51 genuine samples are present. The observed 9.80% false-positive rate comes from five errors among those 51 records, making it highly sensitive to individual examples and too weakly supported to interpret as a stable operating rate. The 98.8% overall accuracy is similarly misleading in this spoof-heavy sample and should not be treated as a meaningful estimate of balanced detection performance. The batch files have no source IDs, and the Colab checkpoint identity is unavailable for comparison with the active local weights. This reconstruction is diagnostic only, not source-disjoint test evidence.</w:t>
      </w:r>
    </w:p>
    <w:p>
      <w:pPr>
        <w:pStyle w:val="Heading2"/>
        <w:spacing w:lineRule="auto" w:line="360"/>
        <w:rPr>
          <w:sz w:val="24"/>
          <w:szCs w:val="24"/>
        </w:rPr>
      </w:pPr>
      <w:r>
        <w:rPr>
          <w:sz w:val="24"/>
          <w:szCs w:val="24"/>
        </w:rPr>
        <w:t>C. Video evidence</w:t>
      </w:r>
    </w:p>
    <w:p>
      <w:pPr>
        <w:pStyle w:val="Normal"/>
        <w:spacing w:lineRule="auto" w:line="360"/>
        <w:rPr>
          <w:sz w:val="24"/>
          <w:szCs w:val="24"/>
        </w:rPr>
      </w:pPr>
      <w:r>
        <w:rPr>
          <w:rFonts w:eastAsia="Times New Roman"/>
          <w:sz w:val="24"/>
          <w:szCs w:val="24"/>
        </w:rPr>
        <w:t>A video training run recorded 95.75% validation accuracy after five epochs on 10,000 face tensors randomly partitioned into 8,000 training and 2,000 validation samples. That run saved model.safetensors; the current application loads model.safetensors_2. The training record contains no source-video groups or held-out test predictions, so its validation metric cannot be attributed to the active checkpoint or treated as test accuracy. No verified held-out metric report exists for the active video model.</w:t>
      </w:r>
    </w:p>
    <w:p>
      <w:pPr>
        <w:pStyle w:val="Heading2"/>
        <w:spacing w:lineRule="auto" w:line="360"/>
        <w:rPr>
          <w:sz w:val="24"/>
          <w:szCs w:val="24"/>
        </w:rPr>
      </w:pPr>
      <w:r>
        <w:rPr>
          <w:sz w:val="24"/>
          <w:szCs w:val="24"/>
        </w:rPr>
        <w:t>D. Fusion evidence</w:t>
      </w:r>
    </w:p>
    <w:p>
      <w:pPr>
        <w:pStyle w:val="Normal"/>
        <w:spacing w:lineRule="auto" w:line="360"/>
        <w:rPr>
          <w:sz w:val="24"/>
          <w:szCs w:val="24"/>
        </w:rPr>
      </w:pPr>
      <w:r>
        <w:rPr>
          <w:rFonts w:eastAsia="Times New Roman"/>
          <w:sz w:val="24"/>
          <w:szCs w:val="24"/>
        </w:rPr>
        <w:t>No curated manifest of genuinely corresponding email, audio, and video cases with source-group separation was available. The earlier ablation CSV and LaTeX table are marked in the repository as unverified because independent modality datasets were paired by labels and a video threshold was selected on the same records used for scoring [13]. Their percentages are excluded. This distinction is substantive: sharing a threat/benign label does not make two records evidence from the same investigation, and therefore cannot test whether cross-modal evidence resolves a particular incident. The current multi-modal screenshot illustrates interface behavior only; its media are not verified as one matched scenario. No multi-modal accuracy, false-positive rate, false-negative rate, or fault-tolerance rate is claimed. The resulting contribution is a clear validity requirement for future fusion evaluation, rather than a fusion performance estimate.</w:t>
      </w:r>
    </w:p>
    <w:p>
      <w:pPr>
        <w:pStyle w:val="Heading2"/>
        <w:spacing w:lineRule="auto" w:line="360"/>
        <w:rPr>
          <w:sz w:val="24"/>
          <w:szCs w:val="24"/>
        </w:rPr>
      </w:pPr>
      <w:r>
        <w:rPr>
          <w:sz w:val="24"/>
          <w:szCs w:val="24"/>
        </w:rPr>
        <w:t>E. Metric definitions and evidence summary</w:t>
      </w:r>
    </w:p>
    <w:p>
      <w:pPr>
        <w:pStyle w:val="Normal"/>
        <w:spacing w:lineRule="auto" w:line="360"/>
        <w:rPr>
          <w:sz w:val="24"/>
          <w:szCs w:val="24"/>
        </w:rPr>
      </w:pPr>
      <w:r>
        <w:rPr>
          <w:rFonts w:eastAsia="Times New Roman"/>
          <w:sz w:val="24"/>
          <w:szCs w:val="24"/>
        </w:rPr>
        <w:t>For a binary threat label, the reported metrics are computed from TP, TN, FP, and FN as follows: Accuracy = (TP + TN)/(TP + TN + FP + FN); Precision = TP/(TP + FP); Recall = TP/(TP + FN); FPR = FP/(FP + TN); and FNR = FN/(FN + TP). A future benchmark should also report class support, confidence intervals, coverage for each modality subset, and source-group overlap checks.</w:t>
      </w:r>
    </w:p>
    <w:p>
      <w:pPr>
        <w:pStyle w:val="Normal"/>
        <w:keepNext w:val="true"/>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sz w:val="24"/>
          <w:szCs w:val="24"/>
        </w:rPr>
      </w:pPr>
      <w:r>
        <w:rPr>
          <w:i/>
          <w:sz w:val="24"/>
          <w:szCs w:val="24"/>
        </w:rPr>
        <w:t>Table II. Results and evidence status.</w:t>
      </w:r>
    </w:p>
    <w:tbl>
      <w:tblPr>
        <w:tblStyle w:val="TableGrid"/>
        <w:tblW w:w="924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160"/>
        <w:gridCol w:w="794"/>
        <w:gridCol w:w="2431"/>
        <w:gridCol w:w="3854"/>
      </w:tblGrid>
      <w:tr>
        <w:trPr>
          <w:tblHeader w:val="true"/>
          <w:cantSplit w:val="true"/>
        </w:trPr>
        <w:tc>
          <w:tcPr>
            <w:tcW w:w="2160"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Component / evidence</w:t>
            </w:r>
          </w:p>
        </w:tc>
        <w:tc>
          <w:tcPr>
            <w:tcW w:w="79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N</w:t>
            </w:r>
          </w:p>
        </w:tc>
        <w:tc>
          <w:tcPr>
            <w:tcW w:w="2431"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Observed result</w:t>
            </w:r>
          </w:p>
        </w:tc>
        <w:tc>
          <w:tcPr>
            <w:tcW w:w="385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Interpretation</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earlier Colab run</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3,508</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98.80% accuracy; CM [[2175, 21],[21, 1291]]</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Run/checkpoint linkage and split lineage unverified</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active-checkpoint re-score</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3,508</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94.95% accuracy; TP 1308, TN 2023, FP 173, FN 4</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Excluding one clipped row changes accuracy to 94.98%; split lineage unverified</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Audio: reconstructed random-row split</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500</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98.80% accuracy;</w:t>
            </w:r>
          </w:p>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TP 448, TN 46, FP 5, FN 1</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source IDs; checkpoint identity unverified; diagnostic only</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Video: active checkpoint</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held-out test metrics found</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Earlier validation result belongs to a separate checkpoint</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multi-modal fusion</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paired held-out evaluation</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Earlier ablation outputs excluded as unverified</w:t>
            </w:r>
          </w:p>
        </w:tc>
      </w:tr>
    </w:tbl>
    <w:p>
      <w:pPr>
        <w:pStyle w:val="Normal"/>
        <w:spacing w:lineRule="auto" w:line="360" w:before="0" w:after="20"/>
        <w:rPr>
          <w:sz w:val="24"/>
          <w:szCs w:val="24"/>
        </w:rPr>
      </w:pPr>
      <w:r>
        <w:rPr>
          <w:sz w:val="24"/>
          <w:szCs w:val="24"/>
        </w:rPr>
      </w:r>
    </w:p>
    <w:p>
      <w:pPr>
        <w:pStyle w:val="Heading1"/>
        <w:spacing w:lineRule="auto" w:line="360"/>
        <w:jc w:val="left"/>
        <w:rPr>
          <w:sz w:val="24"/>
          <w:szCs w:val="24"/>
        </w:rPr>
      </w:pPr>
      <w:r>
        <w:rPr>
          <w:sz w:val="24"/>
          <w:szCs w:val="24"/>
        </w:rPr>
        <w:t>VII. DISCUSSION</w:t>
      </w:r>
    </w:p>
    <w:p>
      <w:pPr>
        <w:pStyle w:val="Normal"/>
        <w:spacing w:lineRule="auto" w:line="360"/>
        <w:rPr>
          <w:sz w:val="24"/>
          <w:szCs w:val="24"/>
        </w:rPr>
      </w:pPr>
      <w:r>
        <w:rPr>
          <w:rFonts w:eastAsia="Times New Roman"/>
          <w:sz w:val="24"/>
          <w:szCs w:val="24"/>
        </w:rPr>
        <w:t>The project’s strongest demonstrated result is systems integration: three modality-specific inference paths can be invoked locally through a shared analyst workflow, including partial-input analysis and browser-generated reports. The fusion evaluation also yields a methodological lesson: a shared class label is not evidence that independently sourced email, audio, and video belong to one incident. Without incident-level correspondence, a fusion score tests arithmetic over selected inputs, not whether multi-modal evidence improves a real investigation. This distinction explains why the earlier 99.1% fusion claim is excluded and defines the evidence a future performance study must collect.</w:t>
      </w:r>
    </w:p>
    <w:p>
      <w:pPr>
        <w:pStyle w:val="Normal"/>
        <w:spacing w:lineRule="auto" w:line="360"/>
        <w:rPr>
          <w:sz w:val="24"/>
          <w:szCs w:val="24"/>
        </w:rPr>
      </w:pPr>
      <w:r>
        <w:rPr>
          <w:rFonts w:eastAsia="Times New Roman"/>
          <w:sz w:val="24"/>
          <w:szCs w:val="24"/>
        </w:rPr>
        <w:t>The active email re-score has a materially higher false-positive rate than the earlier Colab result. Excluding the single API-clipped record changes the accuracy only from 94.95% to 94.98% and the false-positive count from 173 to 172; clipping therefore does not explain the discrepancy. The remaining difference cannot be attributed using the available artifacts because the earlier run’s checkpoint, split-generation history, and full preprocessing lineage are not linked to the active deployment. The audio figure also requires stronger restraint: 98.8% accuracy on a spoof-heavy sample with only 51 genuine examples is not a reliable operating estimate, and its 9.80% false-positive rate is based on five cases. Both results require source-disjoint evaluation before broader conclusions.</w:t>
      </w:r>
    </w:p>
    <w:p>
      <w:pPr>
        <w:pStyle w:val="Normal"/>
        <w:spacing w:lineRule="auto" w:line="360"/>
        <w:rPr>
          <w:sz w:val="24"/>
          <w:szCs w:val="24"/>
        </w:rPr>
      </w:pPr>
      <w:r>
        <w:rPr>
          <w:rFonts w:eastAsia="Times New Roman"/>
          <w:sz w:val="24"/>
          <w:szCs w:val="24"/>
        </w:rPr>
        <w:t>The fusion rule is interpretable but assumes comparable modality scores. Logit recentering at the configured video threshold does not calibrate across models. Future evaluation should lock thresholds on validation data, compare mean and veto against baselines, and report all seven non-empty modality subsets with source-group separation.</w:t>
      </w:r>
    </w:p>
    <w:p>
      <w:pPr>
        <w:pStyle w:val="Heading1"/>
        <w:spacing w:lineRule="auto" w:line="360"/>
        <w:jc w:val="left"/>
        <w:rPr>
          <w:sz w:val="24"/>
          <w:szCs w:val="24"/>
        </w:rPr>
      </w:pPr>
      <w:r>
        <w:rPr>
          <w:sz w:val="24"/>
          <w:szCs w:val="24"/>
        </w:rPr>
        <w:t>VIII. LIMITATIONS AND THREATS TO VALIDITY</w:t>
      </w:r>
    </w:p>
    <w:p>
      <w:pPr>
        <w:pStyle w:val="Normal"/>
        <w:spacing w:lineRule="auto" w:line="360"/>
        <w:rPr>
          <w:sz w:val="24"/>
          <w:szCs w:val="24"/>
        </w:rPr>
      </w:pPr>
      <w:r>
        <w:rPr>
          <w:rFonts w:eastAsia="Times New Roman"/>
          <w:sz w:val="24"/>
          <w:szCs w:val="24"/>
        </w:rPr>
        <w:t>First, checkpoint provenance is incomplete. The active email and audio weights cannot be conclusively linked to training histories that exclude the evaluated rows; the active video checkpoint has no corresponding test evaluation. Second, the audio split is sample-level and lacks speaker/session identifiers. The documented video validation partition is sample-level, with no source-video grouping evidence. These designs may allow correlated content to cross partitions and do not establish generalization to unseen sources.</w:t>
      </w:r>
    </w:p>
    <w:p>
      <w:pPr>
        <w:pStyle w:val="Normal"/>
        <w:spacing w:lineRule="auto" w:line="360"/>
        <w:rPr>
          <w:sz w:val="24"/>
          <w:szCs w:val="24"/>
        </w:rPr>
      </w:pPr>
      <w:r>
        <w:rPr>
          <w:rFonts w:eastAsia="Times New Roman"/>
          <w:sz w:val="24"/>
          <w:szCs w:val="24"/>
        </w:rPr>
        <w:t>Third, the multi-modal records are not a verified paired BEC corpus. Combining unrelated samples or merely sharing labels does not create a valid multi-modal case. Fourth, the configured video threshold lacks a preserved validation manifest and should not be called a verified calibration. Fifth, the stress examples and screenshots are illustrative; they cannot support population-level accuracy or fault-tolerance claims. Finally, local Docker configuration and local model loading reduce dependence on external inference services. They do not establish air-gapped operation; that claim would require confirmation of host network controls and software supply-chain conditions outside the model code.</w:t>
      </w:r>
    </w:p>
    <w:p>
      <w:pPr>
        <w:pStyle w:val="Heading1"/>
        <w:spacing w:lineRule="auto" w:line="360"/>
        <w:jc w:val="left"/>
        <w:rPr>
          <w:sz w:val="24"/>
          <w:szCs w:val="24"/>
        </w:rPr>
      </w:pPr>
      <w:r>
        <w:rPr>
          <w:sz w:val="24"/>
          <w:szCs w:val="24"/>
        </w:rPr>
        <w:t>IX. CONCLUSION AND FUTURE WORK</w:t>
      </w:r>
    </w:p>
    <w:p>
      <w:pPr>
        <w:pStyle w:val="Normal"/>
        <w:spacing w:lineRule="auto" w:line="360"/>
        <w:rPr>
          <w:sz w:val="24"/>
          <w:szCs w:val="24"/>
        </w:rPr>
      </w:pPr>
      <w:r>
        <w:rPr>
          <w:rFonts w:eastAsia="Times New Roman"/>
          <w:sz w:val="24"/>
          <w:szCs w:val="24"/>
        </w:rPr>
        <w:t>SynthGuard integrates email, audio, and video classifiers in a locally deployed analyst workflow and applies an explicit equal-weight score rule with a high-confidence biometric veto. The available audio result is especially weak: 98.8% accuracy on a spoof-heavy sample with only 51 genuine cases is not a dependable operating estimate. The current repository supports detailed architectural reporting and qualified diagnostic re-scores, but not validated performance claims for the active checkpoints as a whole or for paired multi-modal fusion. The study’s fusion contribution is to make the incident-pairing requirement explicit: label-matched records from independent sources do not validate multi-modal performance. Future work should first establish checkpoint and data lineage, then create source-disjoint validation and test partitions, calibrate thresholds on validation data only, and curate paired scenarios whose modalities belong to the same investigation. The final evaluation should publish per-sample scores, confusion counts, source IDs or pseudonymous group IDs, threshold settings, checkpoint hashes, confidence intervals, and reproducible run metadata. Until then, SynthGuard should be presented as an integrated prototype with evaluation in progress, not as a system proven to achieve a particular multi-modal accuracy.</w:t>
      </w:r>
      <w:r>
        <w:br w:type="page"/>
      </w:r>
    </w:p>
    <w:p>
      <w:pPr>
        <w:pStyle w:val="Heading1"/>
        <w:spacing w:lineRule="auto" w:line="360" w:before="0" w:after="80"/>
        <w:jc w:val="left"/>
        <w:rPr>
          <w:sz w:val="24"/>
          <w:szCs w:val="24"/>
        </w:rPr>
      </w:pPr>
      <w:r>
        <w:rPr>
          <w:sz w:val="24"/>
          <w:szCs w:val="24"/>
        </w:rPr>
        <w:t>REFERENCES</w:t>
      </w:r>
    </w:p>
    <w:p>
      <w:pPr>
        <w:pStyle w:val="Normal"/>
        <w:spacing w:lineRule="auto" w:line="360" w:before="0" w:after="30"/>
        <w:ind w:hanging="360" w:left="360"/>
        <w:jc w:val="left"/>
        <w:rPr>
          <w:sz w:val="24"/>
          <w:szCs w:val="24"/>
        </w:rPr>
      </w:pPr>
      <w:r>
        <w:rPr>
          <w:rFonts w:eastAsia="Times New Roman"/>
          <w:sz w:val="24"/>
          <w:szCs w:val="24"/>
        </w:rPr>
        <w:t>[1] V. Sanh, L. Debut, J. Chaumond, and T. Wolf, “DistilBERT, a distilled version of BERT: smaller, faster, cheaper and lighter,” arXiv:1910.01108, 2019.</w:t>
      </w:r>
    </w:p>
    <w:p>
      <w:pPr>
        <w:pStyle w:val="Normal"/>
        <w:spacing w:lineRule="auto" w:line="360" w:before="0" w:after="30"/>
        <w:ind w:hanging="360" w:left="360"/>
        <w:jc w:val="left"/>
        <w:rPr>
          <w:sz w:val="24"/>
          <w:szCs w:val="24"/>
        </w:rPr>
      </w:pPr>
      <w:r>
        <w:rPr>
          <w:rFonts w:eastAsia="Times New Roman"/>
          <w:sz w:val="24"/>
          <w:szCs w:val="24"/>
        </w:rPr>
        <w:t>[2] J. Yamagishi et al., “ASVspoof 2021: accelerating progress in spoofed and deepfake speech detection,” in Proc. ASVspoof 2021 Workshop, 2021, pp. 47–54, doi: 10.21437/ASVSPOOF.2021-8.</w:t>
      </w:r>
    </w:p>
    <w:p>
      <w:pPr>
        <w:pStyle w:val="Normal"/>
        <w:spacing w:lineRule="auto" w:line="360" w:before="0" w:after="30"/>
        <w:ind w:hanging="360" w:left="360"/>
        <w:jc w:val="left"/>
        <w:rPr>
          <w:sz w:val="24"/>
          <w:szCs w:val="24"/>
        </w:rPr>
      </w:pPr>
      <w:r>
        <w:rPr>
          <w:rFonts w:eastAsia="Times New Roman"/>
          <w:sz w:val="24"/>
          <w:szCs w:val="24"/>
        </w:rPr>
        <w:t>[3] S. B. Davis and P. Mermelstein, “Comparison of parametric representations for monosyllabic word recognition in continuously spoken sentences,” IEEE Trans. Acoust., Speech, Signal Process., vol. 28, no. 4, pp. 357–366, 1980.</w:t>
      </w:r>
    </w:p>
    <w:p>
      <w:pPr>
        <w:pStyle w:val="Normal"/>
        <w:spacing w:lineRule="auto" w:line="360" w:before="0" w:after="30"/>
        <w:ind w:hanging="360" w:left="360"/>
        <w:jc w:val="left"/>
        <w:rPr>
          <w:sz w:val="24"/>
          <w:szCs w:val="24"/>
        </w:rPr>
      </w:pPr>
      <w:r>
        <w:rPr>
          <w:rFonts w:eastAsia="Times New Roman"/>
          <w:sz w:val="24"/>
          <w:szCs w:val="24"/>
        </w:rPr>
        <w:t>[4] A. Rössler et al., “FaceForensics++: Learning to Detect Manipulated Facial Images,” in Proc. IEEE/CVF Int. Conf. Comput. Vis. (ICCV), 2019, pp. 1–11, doi: 10.1109/ICCV.2019.00009.</w:t>
      </w:r>
    </w:p>
    <w:p>
      <w:pPr>
        <w:pStyle w:val="Normal"/>
        <w:spacing w:lineRule="auto" w:line="360" w:before="0" w:after="30"/>
        <w:ind w:hanging="360" w:left="360"/>
        <w:jc w:val="left"/>
        <w:rPr>
          <w:sz w:val="24"/>
          <w:szCs w:val="24"/>
        </w:rPr>
      </w:pPr>
      <w:r>
        <w:rPr>
          <w:rFonts w:eastAsia="Times New Roman"/>
          <w:sz w:val="24"/>
          <w:szCs w:val="24"/>
        </w:rPr>
        <w:t>[5] K. Zhang, Z. Zhang, Z. Li, and Y. Qiao, “Joint face detection and alignment using multitask cascaded convolutional networks,” IEEE Signal Process. Lett., vol. 23, no. 10, pp. 1499–1503, 2016, doi: 10.1109/LSP.2016.2603342.</w:t>
      </w:r>
    </w:p>
    <w:p>
      <w:pPr>
        <w:pStyle w:val="Normal"/>
        <w:spacing w:lineRule="auto" w:line="360" w:before="0" w:after="30"/>
        <w:ind w:hanging="360" w:left="360"/>
        <w:jc w:val="left"/>
        <w:rPr>
          <w:sz w:val="24"/>
          <w:szCs w:val="24"/>
        </w:rPr>
      </w:pPr>
      <w:r>
        <w:rPr>
          <w:rFonts w:eastAsia="Times New Roman"/>
          <w:sz w:val="24"/>
          <w:szCs w:val="24"/>
        </w:rPr>
        <w:t>[6] M. Tan and Q. Le, “EfficientNet: Rethinking Model Scaling for Convolutional Neural Networks,” in Proc. 36th Int. Conf. Machine Learning, PMLR, vol. 97, 2019, pp. 6105–6114.</w:t>
      </w:r>
    </w:p>
    <w:p>
      <w:pPr>
        <w:pStyle w:val="Normal"/>
        <w:spacing w:lineRule="auto" w:line="360" w:before="0" w:after="30"/>
        <w:ind w:hanging="360" w:left="360"/>
        <w:jc w:val="left"/>
        <w:rPr>
          <w:sz w:val="24"/>
          <w:szCs w:val="24"/>
        </w:rPr>
      </w:pPr>
      <w:r>
        <w:rPr>
          <w:rFonts w:eastAsia="Times New Roman"/>
          <w:sz w:val="24"/>
          <w:szCs w:val="24"/>
        </w:rPr>
        <w:t>[7] J. Kittler, M. Hatef, R. P. W. Duin, and J. Matas, “On combining classifiers,” IEEE Trans. Pattern Anal. Mach. Intell., vol. 20, no. 3, pp. 226–239, 1998, doi: 10.1109/34.667881.</w:t>
      </w:r>
    </w:p>
    <w:p>
      <w:pPr>
        <w:pStyle w:val="Normal"/>
        <w:spacing w:lineRule="auto" w:line="360" w:before="0" w:after="30"/>
        <w:ind w:hanging="360" w:left="360"/>
        <w:jc w:val="left"/>
        <w:rPr>
          <w:sz w:val="24"/>
          <w:szCs w:val="24"/>
        </w:rPr>
      </w:pPr>
      <w:r>
        <w:rPr>
          <w:rFonts w:eastAsia="Times New Roman"/>
          <w:sz w:val="24"/>
          <w:szCs w:val="24"/>
        </w:rPr>
        <w:t>[8] T. Oorloff et al., “AVFF: Audio-Visual Feature Fusion for Video Deepfake Detection,” in Proc. IEEE/CVF Conf. Comput. Vis. Pattern Recognit. (CVPR), 2024.</w:t>
      </w:r>
    </w:p>
    <w:p>
      <w:pPr>
        <w:pStyle w:val="Normal"/>
        <w:spacing w:lineRule="auto" w:line="360" w:before="0" w:after="30"/>
        <w:ind w:hanging="360" w:left="360"/>
        <w:jc w:val="left"/>
        <w:rPr>
          <w:sz w:val="24"/>
          <w:szCs w:val="24"/>
        </w:rPr>
      </w:pPr>
      <w:r>
        <w:rPr>
          <w:rFonts w:eastAsia="Times New Roman"/>
          <w:sz w:val="24"/>
          <w:szCs w:val="24"/>
        </w:rPr>
        <w:t>[9] SynthGuard project, backend/main.py, docker-compose.yml, and frontend report modules, local inference, deployment, and client-side report workflow, project repository, accessed 19 October 2026.</w:t>
      </w:r>
    </w:p>
    <w:p>
      <w:pPr>
        <w:pStyle w:val="Normal"/>
        <w:spacing w:lineRule="auto" w:line="360" w:before="0" w:after="30"/>
        <w:ind w:hanging="360" w:left="360"/>
        <w:jc w:val="left"/>
        <w:rPr>
          <w:sz w:val="24"/>
          <w:szCs w:val="24"/>
        </w:rPr>
      </w:pPr>
      <w:r>
        <w:rPr>
          <w:rFonts w:eastAsia="Times New Roman"/>
          <w:sz w:val="24"/>
          <w:szCs w:val="24"/>
        </w:rPr>
        <w:t>[10] SynthGuard project, src/fusion.py, normalized score aggregation and biometric veto implementation, project repository, accessed 19 October 2026.</w:t>
      </w:r>
    </w:p>
    <w:p>
      <w:pPr>
        <w:pStyle w:val="Normal"/>
        <w:spacing w:lineRule="auto" w:line="360" w:before="0" w:after="30"/>
        <w:ind w:hanging="360" w:left="360"/>
        <w:jc w:val="left"/>
        <w:rPr>
          <w:sz w:val="24"/>
          <w:szCs w:val="24"/>
        </w:rPr>
      </w:pPr>
      <w:r>
        <w:rPr>
          <w:rFonts w:eastAsia="Times New Roman"/>
          <w:sz w:val="24"/>
          <w:szCs w:val="24"/>
        </w:rPr>
        <w:t>[11] SynthGuard project, outputs/reports/email_test_metrics.json and email_test_predictions.csv, current-checkpoint email re-score and qualification metadata, generated 18 October 2026.</w:t>
      </w:r>
    </w:p>
    <w:p>
      <w:pPr>
        <w:pStyle w:val="Normal"/>
        <w:spacing w:lineRule="auto" w:line="360" w:before="0" w:after="30"/>
        <w:ind w:hanging="360" w:left="360"/>
        <w:jc w:val="left"/>
        <w:rPr>
          <w:sz w:val="24"/>
          <w:szCs w:val="24"/>
        </w:rPr>
      </w:pPr>
      <w:r>
        <w:rPr>
          <w:rFonts w:eastAsia="Times New Roman"/>
          <w:sz w:val="24"/>
          <w:szCs w:val="24"/>
        </w:rPr>
        <w:t>[12] SynthGuard project, outputs/reports/audio_reconstructed_test_metrics.json and audio_reconstructed_test_predictions.csv, reconstructed audio split re-score and qualification metadata, generated 18 October 2026.</w:t>
      </w:r>
    </w:p>
    <w:p>
      <w:pPr>
        <w:pStyle w:val="Normal"/>
        <w:spacing w:lineRule="auto" w:line="360" w:before="0" w:after="30"/>
        <w:ind w:hanging="360" w:left="360"/>
        <w:jc w:val="left"/>
        <w:rPr>
          <w:sz w:val="24"/>
          <w:szCs w:val="24"/>
        </w:rPr>
      </w:pPr>
      <w:r>
        <w:rPr>
          <w:sz w:val="24"/>
          <w:szCs w:val="24"/>
        </w:rPr>
        <w:t>[13] SynthGuard project, outputs/reports/README.md, status and limitations of historical ablation outputs, project repository, accessed 19 October 2026.</w:t>
      </w:r>
    </w:p>
    <w:p>
      <w:pPr>
        <w:pStyle w:val="Normal"/>
        <w:keepNext w:val="true"/>
        <w:spacing w:lineRule="auto" w:line="360" w:before="0" w:after="240"/>
        <w:rPr>
          <w:rFonts w:ascii="Times New Roman" w:hAnsi="Times New Roman"/>
        </w:rPr>
      </w:pPr>
      <w:r>
        <w:br w:type="page"/>
      </w:r>
      <w:r>
        <w:rPr>
          <w:rFonts w:eastAsia="Times New Roman" w:ascii="Times New Roman" w:hAnsi="Times New Roman"/>
          <w:b/>
          <w:color w:val="102C43"/>
          <w:sz w:val="30"/>
        </w:rPr>
        <w:t>CHAPTER 9  PLAGIARISM AND SIMILARITY REPORT</w:t>
      </w:r>
    </w:p>
    <w:p>
      <w:pPr>
        <w:pStyle w:val="Heading2"/>
        <w:spacing w:lineRule="auto" w:line="360"/>
        <w:rPr>
          <w:rFonts w:ascii="Times New Roman" w:hAnsi="Times New Roman"/>
        </w:rPr>
      </w:pPr>
      <w:r>
        <w:rPr>
          <w:rFonts w:ascii="Times New Roman" w:hAnsi="Times New Roman"/>
        </w:rPr>
        <w:t>9.1 Purpose</w:t>
      </w:r>
    </w:p>
    <w:p>
      <w:pPr>
        <w:pStyle w:val="Normal"/>
        <w:spacing w:lineRule="auto" w:line="360" w:before="0" w:after="100"/>
        <w:rPr>
          <w:rFonts w:ascii="Times New Roman" w:hAnsi="Times New Roman"/>
        </w:rPr>
      </w:pPr>
      <w:r>
        <w:rPr>
          <w:rFonts w:eastAsia="Times New Roman" w:ascii="Times New Roman" w:hAnsi="Times New Roman"/>
          <w:i w:val="false"/>
          <w:sz w:val="24"/>
        </w:rPr>
        <w:t>This section records the similarity result supplied for the SynthGuard research paper. Similarity checkers compare submitted text against the sources and collections available to the service and apply their own settings and exclusions. A percentage is a screening result; it does not by itself establish proper attribution or originality.</w:t>
      </w:r>
    </w:p>
    <w:p>
      <w:pPr>
        <w:pStyle w:val="Heading2"/>
        <w:spacing w:lineRule="auto" w:line="360"/>
        <w:rPr>
          <w:rFonts w:ascii="Times New Roman" w:hAnsi="Times New Roman"/>
        </w:rPr>
      </w:pPr>
      <w:r>
        <w:rPr>
          <w:rFonts w:ascii="Times New Roman" w:hAnsi="Times New Roman"/>
        </w:rPr>
        <w:t>9.2 Checker and Result</w:t>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jc w:val="left"/>
        <w:rPr>
          <w:rFonts w:ascii="Times New Roman" w:hAnsi="Times New Roman"/>
        </w:rPr>
      </w:pPr>
      <w:r>
        <w:rPr>
          <w:rFonts w:eastAsia="Times New Roman" w:ascii="Times New Roman" w:hAnsi="Times New Roman"/>
          <w:i w:val="false"/>
          <w:sz w:val="24"/>
        </w:rPr>
        <w:t>Similarity report – Paperpal</w:t>
        <w:br/>
        <w:t>0% similarity detected</w:t>
        <w:br/>
        <w:t>Result shown by the checker: “No similarity detected.”</w:t>
      </w:r>
      <w:r>
        <w:rPr>
          <w:rFonts w:ascii="Times New Roman" w:hAnsi="Times New Roman"/>
        </w:rPr>
        <w:br/>
      </w:r>
      <w:r>
        <w:rPr>
          <w:rFonts w:ascii="Times New Roman" w:hAnsi="Times New Roman"/>
        </w:rPr>
        <w:drawing>
          <wp:inline distT="0" distB="0" distL="0" distR="0">
            <wp:extent cx="5212080" cy="455930"/>
            <wp:effectExtent l="0" t="0" r="0" b="0"/>
            <wp:docPr id="11"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
                    <pic:cNvPicPr>
                      <a:picLocks noChangeAspect="1" noChangeArrowheads="1"/>
                    </pic:cNvPicPr>
                  </pic:nvPicPr>
                  <pic:blipFill>
                    <a:blip r:embed="rId12"/>
                    <a:stretch>
                      <a:fillRect/>
                    </a:stretch>
                  </pic:blipFill>
                  <pic:spPr bwMode="auto">
                    <a:xfrm>
                      <a:off x="0" y="0"/>
                      <a:ext cx="5212080" cy="455930"/>
                    </a:xfrm>
                    <a:prstGeom prst="rect">
                      <a:avLst/>
                    </a:prstGeom>
                    <a:noFill/>
                  </pic:spPr>
                </pic:pic>
              </a:graphicData>
            </a:graphic>
          </wp:inline>
        </w:drawing>
      </w:r>
    </w:p>
    <w:p>
      <w:pPr>
        <w:pStyle w:val="Heading2"/>
        <w:spacing w:lineRule="auto" w:line="360"/>
        <w:rPr>
          <w:rFonts w:ascii="Times New Roman" w:hAnsi="Times New Roman"/>
        </w:rPr>
      </w:pPr>
      <w:r>
        <w:rPr>
          <w:rFonts w:ascii="Times New Roman" w:hAnsi="Times New Roman"/>
        </w:rPr>
        <w:t>9.3 Interpretation</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The supplied screenshot shows a zero-percent similarity result for the checked paper. This is evidence of the checker output at the time it was produced, not a universal guarantee that no similar wording exists. Results can differ across tools and settings, and matches may not be available for private, offline, paywalled, or unindexed sources. Quotations, common phrases, and paraphrased material should still be reviewed against the paper’s citations.</w:t>
      </w:r>
    </w:p>
    <w:p>
      <w:pPr>
        <w:pStyle w:val="Normal"/>
        <w:spacing w:lineRule="auto" w:line="360" w:before="0" w:after="100"/>
        <w:ind w:hanging="216" w:left="432"/>
        <w:rPr>
          <w:rFonts w:ascii="Times New Roman" w:hAnsi="Times New Roman"/>
        </w:rPr>
      </w:pPr>
      <w:r>
        <w:rPr>
          <w:rFonts w:ascii="Times New Roman" w:hAnsi="Times New Roman"/>
        </w:rPr>
      </w:r>
    </w:p>
    <w:p>
      <w:pPr>
        <w:pStyle w:val="Normal"/>
        <w:spacing w:lineRule="auto" w:line="360" w:before="0" w:after="100"/>
        <w:ind w:hanging="216" w:left="432"/>
        <w:rPr>
          <w:rFonts w:ascii="Times New Roman" w:hAnsi="Times New Roman"/>
        </w:rPr>
      </w:pPr>
      <w:r>
        <w:rPr>
          <w:rFonts w:ascii="Times New Roman" w:hAnsi="Times New Roman"/>
        </w:rPr>
      </w:r>
    </w:p>
    <w:p>
      <w:pPr>
        <w:pStyle w:val="Normal"/>
        <w:spacing w:lineRule="auto" w:line="360" w:before="0" w:after="100"/>
        <w:ind w:hanging="216" w:left="432"/>
        <w:rPr>
          <w:rFonts w:ascii="Times New Roman" w:hAnsi="Times New Roman"/>
        </w:rPr>
      </w:pPr>
      <w:r>
        <w:rPr>
          <w:rFonts w:ascii="Times New Roman" w:hAnsi="Times New Roman"/>
        </w:rPr>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10  CONCLUSION LIMITATIONS AND FUTURE SCOPE</w:t>
      </w:r>
    </w:p>
    <w:p>
      <w:pPr>
        <w:pStyle w:val="Heading2"/>
        <w:spacing w:lineRule="auto" w:line="360"/>
        <w:rPr>
          <w:rFonts w:ascii="Times New Roman" w:hAnsi="Times New Roman"/>
        </w:rPr>
      </w:pPr>
      <w:r>
        <w:rPr>
          <w:rFonts w:ascii="Times New Roman" w:hAnsi="Times New Roman"/>
        </w:rPr>
        <w:t>10.1 Conclusion</w:t>
      </w:r>
    </w:p>
    <w:p>
      <w:pPr>
        <w:pStyle w:val="Normal"/>
        <w:spacing w:lineRule="auto" w:line="360" w:before="0" w:after="100"/>
        <w:rPr>
          <w:rFonts w:ascii="Times New Roman" w:hAnsi="Times New Roman"/>
        </w:rPr>
      </w:pPr>
      <w:r>
        <w:rPr>
          <w:rFonts w:eastAsia="Times New Roman" w:ascii="Times New Roman" w:hAnsi="Times New Roman"/>
          <w:i w:val="false"/>
          <w:sz w:val="24"/>
        </w:rPr>
        <w:t>SynthGuard integrates local text, audio, and video analysis in a single threat-investigation workflow. DistilBERT, an MFCC-based CNN, and an MTCNN/EfficientNet-B0 pipeline return separate scores. FastAPI standardizes requests and status; the React interface supports multi-modal submission, report history, and local PDF export. A normalized equal-weight rule and an audio/video veto form the final score. These implementation details are supported by the current source code and the running local deployment checks. The system is best described as a locally deployed prototype; no host-level air-gap audit is claimed.</w:t>
      </w:r>
    </w:p>
    <w:p>
      <w:pPr>
        <w:pStyle w:val="Normal"/>
        <w:spacing w:lineRule="auto" w:line="360" w:before="0" w:after="100"/>
        <w:rPr>
          <w:rFonts w:ascii="Times New Roman" w:hAnsi="Times New Roman"/>
        </w:rPr>
      </w:pPr>
      <w:r>
        <w:rPr>
          <w:rFonts w:eastAsia="Times New Roman" w:ascii="Times New Roman" w:hAnsi="Times New Roman"/>
          <w:i w:val="false"/>
          <w:sz w:val="24"/>
        </w:rPr>
        <w:t>The repository includes diagnostic re-scores for email and audio. The active email checkpoint produced 94.95% accuracy on 3,508 saved test rows, with 7.88% FPR and 0.30% FNR at the 0.50 threshold. An unclipped diagnostic changed accuracy only to 94.98%, so truncating the single over-limit input does not account for the difference from the earlier Colab summary. The reconstructed audio sample produced 98.8% accuracy on 500 rows, but only 51 were genuine and the resulting 9.80% FPR depends on five false positives. Both outputs have lineage limitations; they are diagnostic observations, not unqualified held-out performance claims. No video test metrics or authentic paired-fusion evaluation are available, so the earlier 99.1% fusion claim remains excluded.</w:t>
      </w:r>
    </w:p>
    <w:p>
      <w:pPr>
        <w:pStyle w:val="Heading2"/>
        <w:spacing w:lineRule="auto" w:line="360"/>
        <w:rPr>
          <w:rFonts w:ascii="Times New Roman" w:hAnsi="Times New Roman"/>
        </w:rPr>
      </w:pPr>
      <w:r>
        <w:rPr>
          <w:rFonts w:ascii="Times New Roman" w:hAnsi="Times New Roman"/>
        </w:rPr>
        <w:t>10.2 Limitations</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email diagnostic re-score is reproducible from saved prediction and metric files, but the active checkpoint’s exposure to training, early stopping, or model selection on the same records has not been ruled out. Its current results should not be called a verified held-out estimate.</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audio reconstruction covers 500 randomly split rows, with only 51 genuine samples and no speaker/session grouping. The active video checkpoint has no documented source-disjoint test predictions or validation-only calibration record.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No completed, genuinely paired multi-modal manifest or ablation output exists. The implementation of fusion is documented, but any accuracy gain or fault-tolerance improvement remains unevaluated.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email random split does not measure temporal or organization-level generalization; corpus labels and sources may include biases or duplicates after text normalization.</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three model scores are combined as if they were comparable probabilities, although calibration across sensors has not been documented.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Video performance depends on face visibility, selected frames, compression, and manipulation types represented by training data.</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Docker configuration supports local inference after setup but does not alone certify a physically air-gapped environment or an external security audit.</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Browser localStorage is limited to one browser profile and can be cleared or removed by browser settings. It is not a server-backed audit database, and it should not be treated as durable evidence custody for sensitive investigations.</w:t>
      </w:r>
    </w:p>
    <w:p>
      <w:pPr>
        <w:pStyle w:val="Heading2"/>
        <w:spacing w:lineRule="auto" w:line="360"/>
        <w:rPr>
          <w:rFonts w:ascii="Times New Roman" w:hAnsi="Times New Roman"/>
        </w:rPr>
      </w:pPr>
      <w:r>
        <w:rPr>
          <w:rFonts w:ascii="Times New Roman" w:hAnsi="Times New Roman"/>
        </w:rPr>
        <w:t>10.3 Future Scope</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1. Recompute the email test predictions from the saved checkpoint and publish the per-example labels, confusion matrix, exact metrics, and checkpoint hash.</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2. Record the ASVspoof and FaceForensics++ split manifests, source groups, training logs, calibration procedure, and held-out predictions for the current audio and video checkpoints.</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3. Construct and independently label a sufficiently large scenario-level paired test set. Keep actors, campaigns, source videos, and related records within a single split.</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4. Evaluate all seven non-empty sensor subsets with the same scenario labels and report coverage, TP/TN/FP/FN, precision, recall, FPR, FNR, confidence intervals, and runtime.</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5. Compare equal-weight fusion and the veto rule against unimodal and alternative fusion baselines without selecting thresholds on test data.</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6. Assess sensor-score calibration, missing-modality behavior, and robustness under compression, noise, domain shift, and benign high-risk language.</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7. Preserve the similarity-check result for the submitted report version and review citations and quotations manually; the recorded 0% result is specific to the checker output supplied for this document.</w:t>
      </w:r>
      <w:r>
        <w:br w:type="page"/>
      </w:r>
    </w:p>
    <w:p>
      <w:pPr>
        <w:pStyle w:val="Normal"/>
        <w:keepNext w:val="true"/>
        <w:spacing w:lineRule="auto" w:line="360" w:before="0" w:after="240"/>
        <w:rPr>
          <w:rFonts w:ascii="Times New Roman" w:hAnsi="Times New Roman"/>
        </w:rPr>
      </w:pPr>
      <w:r>
        <w:rPr>
          <w:rFonts w:eastAsia="Times New Roman" w:ascii="Times New Roman" w:hAnsi="Times New Roman"/>
          <w:b/>
          <w:color w:val="102C43"/>
          <w:sz w:val="30"/>
        </w:rPr>
        <w:t>CHAPTER 11  REFERENCES AND BIBLIOGRAPHY</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 V. Sanh, L. Debut, J. Chaumond, and T. Wolf, “DistilBERT, a distilled version of BERT: smaller, faster, cheaper and lighter,” arXiv:1910.01108, 2019. https://arxiv.org/abs/1910.01108.</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[2] Subhajournal, “Phishing Email Dataset,” Kaggle. https://www.kaggle.com/datasets/subhajournal/phishingemails.</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[3] H. Delgado, N. Evans, T. Kinnunen, K. A. Lee, X. Liu, A. Nautsch, J. Patino, M. Sahidullah, M. Todisco, X. Wang, and J. Yamagishi, “ASVspoof 2021: accelerating progress in spoofed and deepfake speech detection,” arXiv:2109.00537, 2021. https://arxiv.org/abs/2109.00537.</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[4] A. Rössler et al., “FaceForensics++: Learning to Detect Manipulated Facial Images,” in Proc. IEEE/CVF International Conference on Computer Vision (ICCV), 2019. https://openaccess.thecvf.com/content_ICCV_2019/html/Rossler_FaceForensics_Learning_to_Detect_Manipulated_Facial_Images_ICCV_2019_paper.html.</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[5] M. Tan and Q. V. Le, “EfficientNet: Rethinking Model Scaling for Convolutional Neural Networks,” in Proc. 36th International Conference on Machine Learning, PMLR, vol. 97, pp. 6105–6114, 2019. https://proceedings.mlr.press/v97/tan19a.html.</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[6] K. Zhang, Z. Zhang, Z. Li, and Y. Qiao, “Joint Face Detection and Alignment Using Multitask Cascaded Convolutional Networks,” IEEE Signal Processing Letters, vol. 23, no. 10, pp. 1499–1503, 2016. doi:10.1109/LSP.2016.2603342.</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[7] J. Kittler, M. Hatef, R. P. W. Duin, and J. Matas, “On Combining Classifiers,” IEEE Transactions on Pattern Analysis and Machine Intelligence, vol. 20, no. 3, pp. 226–239, 1998.</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[8] S. B. Davis and P. Mermelstein, “Comparison of parametric representations for monosyllabic word recognition in continuously spoken sentences,” IEEE Transactions on Acoustics, Speech, and Signal Processing, vol. 28, no. 4, pp. 357–366, 1980. doi:10.1109/TASSP.1980.1163420.</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[9] SynthGuard project repository, backend/main.py, local inference and API implementation,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[10] SynthGuard project repository, src/fusion.py, equal-weight score fusion and biometric veto,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[11] SynthGuard project repository, outputs/reports/classification_report.txt and notebooks/01_phishing_email_classifier.ipynb, email evaluation artifacts,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[12] SynthGuard project repository, scripts/run_ablation_study.py and docs/ablation_manifest.md, paired-scenario benchmark design,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[13] SynthGuard project repository, frontend-react/src/lib/reports.ts, client-side history and PDF report generation,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[14] SynthGuard project repository, docs/docker_deployment.md and docker-compose.yml, local container deployment configuration, accessed 18 October 2026.</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12  APPENDICES</w:t>
      </w:r>
    </w:p>
    <w:p>
      <w:pPr>
        <w:pStyle w:val="Heading2"/>
        <w:spacing w:lineRule="auto" w:line="360"/>
        <w:rPr>
          <w:rFonts w:ascii="Times New Roman" w:hAnsi="Times New Roman"/>
        </w:rPr>
      </w:pPr>
      <w:r>
        <w:rPr>
          <w:rFonts w:eastAsia="Times New Roman" w:ascii="Times New Roman" w:hAnsi="Times New Roman"/>
        </w:rPr>
        <w:t>Appendix A Dataset and Model Artifacts</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088"/>
        <w:gridCol w:w="3744"/>
        <w:gridCol w:w="3240"/>
      </w:tblGrid>
      <w:tr>
        <w:trPr>
          <w:tblHeader w:val="true"/>
        </w:trPr>
        <w:tc>
          <w:tcPr>
            <w:tcW w:w="2088"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Artifact</w:t>
            </w:r>
          </w:p>
        </w:tc>
        <w:tc>
          <w:tcPr>
            <w:tcW w:w="374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Project location</w:t>
            </w:r>
          </w:p>
        </w:tc>
        <w:tc>
          <w:tcPr>
            <w:tcW w:w="324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Role</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checkpoint</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models/final/phishing_email/</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DistilBERT model and tokenizer.</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 checkpoint</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models/final/audio_detector/audio_cnn_model.pth</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MFCC-based CNN weights.</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 checkpoints</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models/final/video_detector/</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EfficientNet-B0 weights and legacy backup/calibration context.</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dataset split</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data/train_dataset.pkl; data/test_dataset.pkl</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text and labels from the recorded split.</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 features</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data/audio_features_part_*.pkl</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Preprocessed audio feature chunks; split lineage requires documentation.</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 training chunks</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colab_export/ffpp_chunk_*.pkl</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Prepared video face tensors and labels; split lineage requires documentation.</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report</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outputs/reports/classification_report.txt</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Current-checkpoint diagnostic metrics and per-example predictions; training lineage remains unverified.</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Benchmark runner</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scripts/run_ablation_study.py</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Paired-scenario evaluation and result export tool.</w:t>
            </w:r>
          </w:p>
        </w:tc>
      </w:tr>
    </w:tbl>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eastAsia="Times New Roman" w:ascii="Times New Roman" w:hAnsi="Times New Roman"/>
          <w:i w:val="false"/>
          <w:sz w:val="24"/>
        </w:rPr>
        <w:t>Local artifact presence is not proof that a dataset was used only in training or only in testing. The sample manifest, checkpoint and split records should be retained together with hash values for a reproducible evaluation.</w:t>
      </w:r>
    </w:p>
    <w:p>
      <w:pPr>
        <w:pStyle w:val="Heading2"/>
        <w:spacing w:lineRule="auto" w:line="360"/>
        <w:rPr>
          <w:rFonts w:ascii="Times New Roman" w:hAnsi="Times New Roman"/>
        </w:rPr>
      </w:pPr>
      <w:r>
        <w:rPr>
          <w:rFonts w:eastAsia="Times New Roman" w:ascii="Times New Roman" w:hAnsi="Times New Roman"/>
        </w:rPr>
        <w:t>Appendix B Operational Thresholds</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160"/>
        <w:gridCol w:w="2376"/>
        <w:gridCol w:w="4536"/>
      </w:tblGrid>
      <w:tr>
        <w:trPr>
          <w:tblHeader w:val="true"/>
        </w:trPr>
        <w:tc>
          <w:tcPr>
            <w:tcW w:w="216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Sensor / operation</w:t>
            </w:r>
          </w:p>
        </w:tc>
        <w:tc>
          <w:tcPr>
            <w:tcW w:w="237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Current implementation setting</w:t>
            </w:r>
          </w:p>
        </w:tc>
        <w:tc>
          <w:tcPr>
            <w:tcW w:w="453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Meaning</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0.50</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Class-1 probability at or above this value produces a phishing indicator.</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0.45</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Sigmoid score at or above this value produces a synthetic-audio indicator.</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 face detection</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0.90 MTCNN confidence</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Face region is accepted for downstream crop classification.</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 calibration</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0.7920 fallback raw threshold</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Raw score is logit-shifted so this threshold maps to calibrated 0.50; a calibration.json file overrides the fallback.</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multi-modal veto</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0.85 audio or video score</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Returns the highest available sensor score.</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Final threat decision</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0.50 unified score</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Scores at or above boundary receive the threat label.</w:t>
            </w:r>
          </w:p>
        </w:tc>
      </w:tr>
    </w:tbl>
    <w:p>
      <w:pPr>
        <w:pStyle w:val="Normal"/>
        <w:spacing w:lineRule="auto" w:line="360" w:before="0" w:after="100"/>
        <w:rPr>
          <w:rFonts w:ascii="Times New Roman" w:hAnsi="Times New Roman"/>
        </w:rPr>
      </w:pPr>
      <w:r>
        <w:rPr>
          <w:rFonts w:ascii="Times New Roman" w:hAnsi="Times New Roman"/>
        </w:rPr>
      </w:r>
    </w:p>
    <w:p>
      <w:pPr>
        <w:pStyle w:val="Heading2"/>
        <w:spacing w:lineRule="auto" w:line="360"/>
        <w:rPr>
          <w:rFonts w:ascii="Times New Roman" w:hAnsi="Times New Roman"/>
        </w:rPr>
      </w:pPr>
      <w:r>
        <w:rPr>
          <w:rFonts w:eastAsia="Times New Roman" w:ascii="Times New Roman" w:hAnsi="Times New Roman"/>
        </w:rPr>
        <w:t>Appendix C API and Local Deployment</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t>The API routes are documented in Chapter 9. The default Compose deployment publishes the user interface on 127.0.0.1:8080 and keeps the backend service on the private Compose network. The project documentation describes building and starting the two services with Docker Compose. Before claiming deployment readiness, confirm both services start, model availability is healthy, API calls complete, and the local host binding is preserved.</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r>
    </w:p>
    <w:p>
      <w:pPr>
        <w:pStyle w:val="Heading2"/>
        <w:spacing w:lineRule="auto" w:line="360"/>
        <w:rPr>
          <w:rFonts w:ascii="Times New Roman" w:hAnsi="Times New Roman"/>
        </w:rPr>
      </w:pPr>
      <w:r>
        <w:rPr>
          <w:rFonts w:eastAsia="Times New Roman" w:ascii="Times New Roman" w:hAnsi="Times New Roman"/>
        </w:rPr>
        <w:t>Appendix D Evidence Checklist for Final Research Submission</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Current email and audio diagnostics are catalogued in Appendix H; lineage gaps and the remaining video/fusion evidence requirements are listed in Appendix I.</w:t>
      </w:r>
      <w:r>
        <w:br w:type="page"/>
      </w:r>
    </w:p>
    <w:p>
      <w:pPr>
        <w:pStyle w:val="Heading1"/>
        <w:spacing w:lineRule="auto" w:line="360"/>
        <w:rPr>
          <w:rFonts w:ascii="Times New Roman" w:hAnsi="Times New Roman"/>
          <w:sz w:val="28"/>
          <w:szCs w:val="28"/>
        </w:rPr>
      </w:pPr>
      <w:r>
        <w:rPr>
          <w:rFonts w:eastAsia="Times New Roman" w:ascii="Times New Roman" w:hAnsi="Times New Roman"/>
          <w:sz w:val="28"/>
          <w:szCs w:val="28"/>
        </w:rPr>
        <w:t>APPENDIX E: ANALYST INTERFACE REFERENCE</w:t>
      </w:r>
    </w:p>
    <w:p>
      <w:pPr>
        <w:pStyle w:val="Normal"/>
        <w:keepLines/>
        <w:spacing w:lineRule="auto" w:line="360" w:before="0" w:after="100"/>
        <w:rPr>
          <w:rFonts w:ascii="Times New Roman" w:hAnsi="Times New Roman"/>
        </w:rPr>
      </w:pPr>
      <w:r>
        <w:rPr>
          <w:rFonts w:eastAsia="Times New Roman" w:ascii="Times New Roman" w:hAnsi="Times New Roman"/>
          <w:sz w:val="24"/>
        </w:rPr>
        <w:t>The following figures document the interface version supplied during project review. They show the analyst workflow and the kind of response information visible to a user. The displayed scores are individual demonstration scans; they are not benchmark results, ground-truth labels, or estimates of model accuracy. The screenshots are included as interface documentation and should be replaced only if the submitted build changes materially.</w:t>
      </w:r>
    </w:p>
    <w:p>
      <w:pPr>
        <w:pStyle w:val="Heading2"/>
        <w:spacing w:lineRule="auto" w:line="360"/>
        <w:rPr>
          <w:rFonts w:ascii="Times New Roman" w:hAnsi="Times New Roman"/>
        </w:rPr>
      </w:pPr>
      <w:r>
        <w:rPr>
          <w:rFonts w:eastAsia="Times New Roman" w:ascii="Times New Roman" w:hAnsi="Times New Roman"/>
        </w:rPr>
        <w:t>E.1 Workspace and module navigation</w:t>
      </w:r>
    </w:p>
    <w:p>
      <w:pPr>
        <w:pStyle w:val="Normal"/>
        <w:keepNext w:val="true"/>
        <w:spacing w:lineRule="auto" w:line="360" w:before="0" w:after="100"/>
        <w:jc w:val="center"/>
        <w:rPr>
          <w:rFonts w:ascii="Times New Roman" w:hAnsi="Times New Roman"/>
        </w:rPr>
      </w:pPr>
      <w:r>
        <w:rPr>
          <w:rFonts w:ascii="Times New Roman" w:hAnsi="Times New Roman"/>
        </w:rPr>
        <w:drawing>
          <wp:inline distT="0" distB="0" distL="0" distR="0">
            <wp:extent cx="5715000" cy="2890520"/>
            <wp:effectExtent l="0" t="0" r="0" b="0"/>
            <wp:docPr id="1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
                    <pic:cNvPicPr>
                      <a:picLocks noChangeAspect="1" noChangeArrowheads="1"/>
                    </pic:cNvPicPr>
                  </pic:nvPicPr>
                  <pic:blipFill>
                    <a:blip r:embed="rId13"/>
                    <a:stretch>
                      <a:fillRect/>
                    </a:stretch>
                  </pic:blipFill>
                  <pic:spPr bwMode="auto">
                    <a:xfrm>
                      <a:off x="0" y="0"/>
                      <a:ext cx="5715000" cy="2890520"/>
                    </a:xfrm>
                    <a:prstGeom prst="rect">
                      <a:avLst/>
                    </a:prstGeom>
                    <a:noFill/>
                  </pic:spPr>
                </pic:pic>
              </a:graphicData>
            </a:graphic>
          </wp:inline>
        </w:drawing>
      </w:r>
    </w:p>
    <w:p>
      <w:pPr>
        <w:pStyle w:val="Caption"/>
        <w:keepNext w:val="false"/>
        <w:spacing w:lineRule="auto" w:line="360" w:before="60" w:after="160"/>
        <w:jc w:val="center"/>
        <w:rPr>
          <w:rFonts w:ascii="Times New Roman" w:hAnsi="Times New Roman"/>
        </w:rPr>
      </w:pPr>
      <w:r>
        <w:rPr>
          <w:rFonts w:eastAsia="Times New Roman" w:ascii="Times New Roman" w:hAnsi="Times New Roman"/>
          <w:sz w:val="24"/>
        </w:rPr>
        <w:t>Figure E.1. Dashboard overview and navigation. The dashboard reports workspace readiness and links to the four analysis modules.</w:t>
      </w:r>
    </w:p>
    <w:p>
      <w:pPr>
        <w:pStyle w:val="Heading2"/>
        <w:spacing w:lineRule="auto" w:line="360"/>
        <w:rPr>
          <w:rFonts w:ascii="Times New Roman" w:hAnsi="Times New Roman"/>
        </w:rPr>
      </w:pPr>
      <w:r>
        <w:rPr>
          <w:rFonts w:eastAsia="Times New Roman" w:ascii="Times New Roman" w:hAnsi="Times New Roman"/>
        </w:rPr>
        <w:t>E.2 Email analysis view</w:t>
      </w:r>
    </w:p>
    <w:p>
      <w:pPr>
        <w:pStyle w:val="Normal"/>
        <w:keepNext w:val="true"/>
        <w:spacing w:lineRule="auto" w:line="360" w:before="0" w:after="100"/>
        <w:jc w:val="center"/>
        <w:rPr>
          <w:rFonts w:ascii="Times New Roman" w:hAnsi="Times New Roman"/>
        </w:rPr>
      </w:pPr>
      <w:r>
        <w:rPr>
          <w:rFonts w:ascii="Times New Roman" w:hAnsi="Times New Roman"/>
        </w:rPr>
        <w:drawing>
          <wp:inline distT="0" distB="0" distL="0" distR="0">
            <wp:extent cx="6344285" cy="3147695"/>
            <wp:effectExtent l="0" t="0" r="0" b="0"/>
            <wp:docPr id="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14"/>
                    <a:stretch>
                      <a:fillRect/>
                    </a:stretch>
                  </pic:blipFill>
                  <pic:spPr bwMode="auto">
                    <a:xfrm>
                      <a:off x="0" y="0"/>
                      <a:ext cx="6344285" cy="3147695"/>
                    </a:xfrm>
                    <a:prstGeom prst="rect">
                      <a:avLst/>
                    </a:prstGeom>
                    <a:noFill/>
                  </pic:spPr>
                </pic:pic>
              </a:graphicData>
            </a:graphic>
          </wp:inline>
        </w:drawing>
      </w:r>
    </w:p>
    <w:p>
      <w:pPr>
        <w:pStyle w:val="Caption"/>
        <w:keepNext w:val="false"/>
        <w:spacing w:lineRule="auto" w:line="360" w:before="60" w:after="160"/>
        <w:jc w:val="center"/>
        <w:rPr>
          <w:rFonts w:ascii="Times New Roman" w:hAnsi="Times New Roman"/>
        </w:rPr>
      </w:pPr>
      <w:r>
        <w:rPr>
          <w:rFonts w:eastAsia="Times New Roman" w:ascii="Times New Roman" w:hAnsi="Times New Roman"/>
          <w:sz w:val="24"/>
        </w:rPr>
        <w:t>Figure E.2. Email Intelligence workspace. The result panel presents the email score, verdict, and a textual threat indicator.</w:t>
      </w:r>
    </w:p>
    <w:p>
      <w:pPr>
        <w:pStyle w:val="Heading2"/>
        <w:spacing w:lineRule="auto" w:line="360" w:before="0" w:after="80"/>
        <w:rPr>
          <w:rFonts w:ascii="Times New Roman" w:hAnsi="Times New Roman"/>
        </w:rPr>
      </w:pPr>
      <w:r>
        <w:rPr>
          <w:rFonts w:eastAsia="Times New Roman" w:ascii="Times New Roman" w:hAnsi="Times New Roman"/>
        </w:rPr>
        <w:t>E.3 Audio analysis view</w:t>
      </w:r>
    </w:p>
    <w:p>
      <w:pPr>
        <w:pStyle w:val="Normal"/>
        <w:keepNext w:val="true"/>
        <w:spacing w:lineRule="auto" w:line="360" w:before="0" w:after="100"/>
        <w:jc w:val="center"/>
        <w:rPr>
          <w:rFonts w:ascii="Times New Roman" w:hAnsi="Times New Roman"/>
        </w:rPr>
      </w:pPr>
      <w:r>
        <w:rPr>
          <w:rFonts w:ascii="Times New Roman" w:hAnsi="Times New Roman"/>
        </w:rPr>
        <w:drawing>
          <wp:inline distT="0" distB="0" distL="0" distR="0">
            <wp:extent cx="6367780" cy="3170555"/>
            <wp:effectExtent l="0" t="0" r="0" b="0"/>
            <wp:docPr id="1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
                    <pic:cNvPicPr>
                      <a:picLocks noChangeAspect="1" noChangeArrowheads="1"/>
                    </pic:cNvPicPr>
                  </pic:nvPicPr>
                  <pic:blipFill>
                    <a:blip r:embed="rId15"/>
                    <a:stretch>
                      <a:fillRect/>
                    </a:stretch>
                  </pic:blipFill>
                  <pic:spPr bwMode="auto">
                    <a:xfrm>
                      <a:off x="0" y="0"/>
                      <a:ext cx="6367780" cy="3170555"/>
                    </a:xfrm>
                    <a:prstGeom prst="rect">
                      <a:avLst/>
                    </a:prstGeom>
                    <a:noFill/>
                  </pic:spPr>
                </pic:pic>
              </a:graphicData>
            </a:graphic>
          </wp:inline>
        </w:drawing>
      </w:r>
    </w:p>
    <w:p>
      <w:pPr>
        <w:pStyle w:val="Caption"/>
        <w:keepNext w:val="false"/>
        <w:spacing w:lineRule="auto" w:line="360" w:before="60" w:after="160"/>
        <w:jc w:val="center"/>
        <w:rPr>
          <w:rFonts w:ascii="Times New Roman" w:hAnsi="Times New Roman"/>
        </w:rPr>
      </w:pPr>
      <w:r>
        <w:rPr>
          <w:rFonts w:eastAsia="Times New Roman" w:ascii="Times New Roman" w:hAnsi="Times New Roman"/>
          <w:sz w:val="24"/>
        </w:rPr>
        <w:t>Figure E.3. Audio Forensics workspace. The upload is analyzed by the local MFCC-CNN path; the shown 100% score is one sample output, not an accuracy metric.</w:t>
      </w:r>
    </w:p>
    <w:p>
      <w:pPr>
        <w:pStyle w:val="Heading2"/>
        <w:spacing w:lineRule="auto" w:line="360"/>
        <w:rPr>
          <w:rFonts w:ascii="Times New Roman" w:hAnsi="Times New Roman"/>
        </w:rPr>
      </w:pPr>
      <w:r>
        <w:rPr>
          <w:rFonts w:eastAsia="Times New Roman" w:ascii="Times New Roman" w:hAnsi="Times New Roman"/>
        </w:rPr>
        <w:t>E.4 Video analysis view</w:t>
      </w:r>
    </w:p>
    <w:p>
      <w:pPr>
        <w:pStyle w:val="Normal"/>
        <w:keepNext w:val="true"/>
        <w:spacing w:lineRule="auto" w:line="360" w:before="0" w:after="100"/>
        <w:jc w:val="left"/>
        <w:rPr>
          <w:rFonts w:ascii="Times New Roman" w:hAnsi="Times New Roman"/>
        </w:rPr>
      </w:pPr>
      <w:r>
        <w:rPr>
          <w:rFonts w:ascii="Times New Roman" w:hAnsi="Times New Roman"/>
        </w:rPr>
        <w:drawing>
          <wp:inline distT="0" distB="0" distL="0" distR="0">
            <wp:extent cx="6372860" cy="3128010"/>
            <wp:effectExtent l="0" t="0" r="0" b="0"/>
            <wp:docPr id="1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
                    <pic:cNvPicPr>
                      <a:picLocks noChangeAspect="1" noChangeArrowheads="1"/>
                    </pic:cNvPicPr>
                  </pic:nvPicPr>
                  <pic:blipFill>
                    <a:blip r:embed="rId16"/>
                    <a:stretch>
                      <a:fillRect/>
                    </a:stretch>
                  </pic:blipFill>
                  <pic:spPr bwMode="auto">
                    <a:xfrm>
                      <a:off x="0" y="0"/>
                      <a:ext cx="6372860" cy="3128010"/>
                    </a:xfrm>
                    <a:prstGeom prst="rect">
                      <a:avLst/>
                    </a:prstGeom>
                    <a:noFill/>
                  </pic:spPr>
                </pic:pic>
              </a:graphicData>
            </a:graphic>
          </wp:inline>
        </w:drawing>
      </w:r>
    </w:p>
    <w:p>
      <w:pPr>
        <w:pStyle w:val="Caption"/>
        <w:keepNext w:val="false"/>
        <w:spacing w:lineRule="auto" w:line="360" w:before="60" w:after="160"/>
        <w:jc w:val="center"/>
        <w:rPr>
          <w:rFonts w:ascii="Times New Roman" w:hAnsi="Times New Roman"/>
        </w:rPr>
      </w:pPr>
      <w:r>
        <w:rPr>
          <w:rFonts w:eastAsia="Times New Roman" w:ascii="Times New Roman" w:hAnsi="Times New Roman"/>
          <w:sz w:val="24"/>
        </w:rPr>
        <w:t>Figure E.4. Video Forensics workspace. The interface displays extracted face regions and the video score for one sample scan.</w:t>
      </w:r>
    </w:p>
    <w:p>
      <w:pPr>
        <w:pStyle w:val="Heading2"/>
        <w:spacing w:lineRule="auto" w:line="360" w:before="0" w:after="80"/>
        <w:rPr>
          <w:rFonts w:ascii="Times New Roman" w:hAnsi="Times New Roman"/>
        </w:rPr>
      </w:pPr>
      <w:r>
        <w:rPr>
          <w:rFonts w:eastAsia="Times New Roman" w:ascii="Times New Roman" w:hAnsi="Times New Roman"/>
        </w:rPr>
        <w:t>E.5 multi-modal analysis view</w:t>
      </w:r>
    </w:p>
    <w:p>
      <w:pPr>
        <w:pStyle w:val="Normal"/>
        <w:keepNext w:val="true"/>
        <w:spacing w:lineRule="auto" w:line="360" w:before="0" w:after="100"/>
        <w:jc w:val="center"/>
        <w:rPr>
          <w:rFonts w:ascii="Times New Roman" w:hAnsi="Times New Roman"/>
        </w:rPr>
      </w:pPr>
      <w:r>
        <w:rPr>
          <w:rFonts w:ascii="Times New Roman" w:hAnsi="Times New Roman"/>
        </w:rPr>
        <w:drawing>
          <wp:inline distT="0" distB="0" distL="0" distR="0">
            <wp:extent cx="6396355" cy="3218815"/>
            <wp:effectExtent l="0" t="0" r="0" b="0"/>
            <wp:docPr id="1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
                    <pic:cNvPicPr>
                      <a:picLocks noChangeAspect="1" noChangeArrowheads="1"/>
                    </pic:cNvPicPr>
                  </pic:nvPicPr>
                  <pic:blipFill>
                    <a:blip r:embed="rId17"/>
                    <a:stretch>
                      <a:fillRect/>
                    </a:stretch>
                  </pic:blipFill>
                  <pic:spPr bwMode="auto">
                    <a:xfrm>
                      <a:off x="0" y="0"/>
                      <a:ext cx="6396355" cy="3218815"/>
                    </a:xfrm>
                    <a:prstGeom prst="rect">
                      <a:avLst/>
                    </a:prstGeom>
                    <a:noFill/>
                  </pic:spPr>
                </pic:pic>
              </a:graphicData>
            </a:graphic>
          </wp:inline>
        </w:drawing>
      </w:r>
    </w:p>
    <w:p>
      <w:pPr>
        <w:pStyle w:val="Caption"/>
        <w:keepNext w:val="false"/>
        <w:spacing w:lineRule="auto" w:line="360" w:before="60" w:after="160"/>
        <w:jc w:val="center"/>
        <w:rPr>
          <w:rFonts w:ascii="Times New Roman" w:hAnsi="Times New Roman"/>
        </w:rPr>
      </w:pPr>
      <w:r>
        <w:rPr>
          <w:rFonts w:eastAsia="Times New Roman" w:ascii="Times New Roman" w:hAnsi="Times New Roman"/>
          <w:sz w:val="24"/>
        </w:rPr>
        <w:t>Figure E.5. multi-modal Fusion workspace. The screen shows three modality statuses and the fused score for the submitted inputs; it does not establish paired-test performance.</w:t>
      </w:r>
    </w:p>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APPENDIX F  LOCAL API REFERENCE</w:t>
      </w:r>
    </w:p>
    <w:p>
      <w:pPr>
        <w:pStyle w:val="Normal"/>
        <w:keepLines/>
        <w:spacing w:lineRule="auto" w:line="360" w:before="0" w:after="100"/>
        <w:rPr>
          <w:rFonts w:ascii="Times New Roman" w:hAnsi="Times New Roman"/>
        </w:rPr>
      </w:pPr>
      <w:r>
        <w:rPr>
          <w:rFonts w:eastAsia="Times New Roman" w:ascii="Times New Roman" w:hAnsi="Times New Roman"/>
          <w:sz w:val="24"/>
        </w:rPr>
        <w:t>The React client communicates with the FastAPI service through relative `/api` routes. In the Compose deployment, the browser reaches the Nginx frontend and Nginx proxies API requests over the private Compose network. The backend is not directly published as a host port in the supplied Compose file.</w:t>
      </w:r>
    </w:p>
    <w:p>
      <w:pPr>
        <w:pStyle w:val="Heading2"/>
        <w:spacing w:lineRule="auto" w:line="360"/>
        <w:rPr>
          <w:rFonts w:ascii="Times New Roman" w:hAnsi="Times New Roman"/>
        </w:rPr>
      </w:pPr>
      <w:r>
        <w:rPr>
          <w:rFonts w:eastAsia="Times New Roman" w:ascii="Times New Roman" w:hAnsi="Times New Roman"/>
        </w:rPr>
        <w:t>F.1 Endpoint summary</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9"/>
        <w:gridCol w:w="2329"/>
        <w:gridCol w:w="2329"/>
        <w:gridCol w:w="2328"/>
      </w:tblGrid>
      <w:tr>
        <w:trPr>
          <w:tblHeader w:val="true"/>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Endpoint</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Method and input</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Successful response</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Key validation</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/api/health</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GET; no body</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Service status and availability by model</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 model can be unavailable even when the service responds.</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/api/analyze/email</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POST JSON: {"text":"..."}</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Analysis ID, class label, score, model name, summary and indicators</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Non-empty text; configured maximum 100,000 characters.</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/api/analyze/audio</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POST multipart file field</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Synthetic/genuine label and CNN score</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WAV, FLAC, MP3, OGG or M4A; up to 25 MB and 180 seconds by default.</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/api/analyze/video</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POST multipart file field</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Manipulated/original label, score and up to five face crops</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MP4, MOV or M4V; up to 100 MB and 120 seconds by default; a valid face must be found.</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/api/analyze/multi-modal</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POST multipart: optional text/audio/video</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Overall prediction plus modality scores, statuses, errors and indicators</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At least one modality; each supplied input follows its modality validation rules.</w:t>
            </w:r>
          </w:p>
        </w:tc>
      </w:tr>
    </w:tbl>
    <w:p>
      <w:pPr>
        <w:pStyle w:val="Heading2"/>
        <w:spacing w:lineRule="auto" w:line="360"/>
        <w:rPr>
          <w:rFonts w:ascii="Times New Roman" w:hAnsi="Times New Roman"/>
        </w:rPr>
      </w:pPr>
      <w:r>
        <w:rPr>
          <w:rFonts w:eastAsia="Times New Roman" w:ascii="Times New Roman" w:hAnsi="Times New Roman"/>
        </w:rPr>
        <w:t>F.2 Common response fields</w:t>
      </w:r>
    </w:p>
    <w:p>
      <w:pPr>
        <w:pStyle w:val="Normal"/>
        <w:keepLines/>
        <w:spacing w:lineRule="auto" w:line="360" w:before="0" w:after="100"/>
        <w:rPr>
          <w:rFonts w:ascii="Times New Roman" w:hAnsi="Times New Roman"/>
        </w:rPr>
      </w:pPr>
      <w:r>
        <w:rPr>
          <w:rFonts w:eastAsia="Times New Roman" w:ascii="Times New Roman" w:hAnsi="Times New Roman"/>
          <w:sz w:val="24"/>
        </w:rPr>
        <w:t>An AnalysisResponse contains analysis_id, analysis_type, status, prediction, summary, indicators, frames, modality_status, modality_errors, and a creation timestamp. The prediction object includes label, score, score_type, and model_name. A completed response means the request was handled; it does not mean the decision has been independently validated. The UI should preserve the distinction between processed, omitted, failed, and unavailable modalities so a reader can interpret a partial result correctly.</w:t>
      </w:r>
    </w:p>
    <w:p>
      <w:pPr>
        <w:pStyle w:val="Normal"/>
        <w:keepLines/>
        <w:spacing w:lineRule="auto" w:line="360" w:before="0" w:after="100"/>
        <w:rPr>
          <w:rFonts w:ascii="Times New Roman" w:hAnsi="Times New Roman"/>
        </w:rPr>
      </w:pPr>
      <w:r>
        <w:rPr>
          <w:rFonts w:eastAsia="Times New Roman" w:ascii="Times New Roman" w:hAnsi="Times New Roman"/>
          <w:sz w:val="24"/>
        </w:rPr>
        <w:t>The multi-modal endpoint can return status `partial` when one or more supplied sensors fail while another succeeds. The summary includes each modality score or N/A. A missing modality is excluded from the normalized fusion denominator. A failed modality is also not silently assigned a zero score. The response’s modality_errors field is the place to inspect a concise failure reason; detailed stack traces remain in backend logs.</w:t>
      </w:r>
    </w:p>
    <w:p>
      <w:pPr>
        <w:pStyle w:val="Heading2"/>
        <w:spacing w:lineRule="auto" w:line="276"/>
        <w:rPr>
          <w:rFonts w:ascii="Times New Roman" w:hAnsi="Times New Roman"/>
        </w:rPr>
      </w:pPr>
      <w:r>
        <w:rPr>
          <w:rFonts w:eastAsia="Times New Roman" w:ascii="Times New Roman" w:hAnsi="Times New Roman"/>
        </w:rPr>
        <w:t>F.3 Operational thresholds</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Sensor / rule</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Configured value</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Interpretation and limitation</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Email indicator</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0.50</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Class-1 softmax score at or above the boundary is labeled phishing.</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Audio indicator</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0.45</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CNN sigmoid score at or above the boundary is labeled synthetic.</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 face acceptance</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MTCNN confidence &gt; 0.90</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 candidate face region must pass the detector confidence gate.</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 score boundary</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0.50 after score transform</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Separates the displayed original/manipulated label.</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 transform fallback</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tau = 0.7920</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Legacy logit recentering maps raw tau to 0.50; no validation artifact verifies this as a fitted calibration.</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Biometric fusion veto</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audio or video &gt;= 0.85</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The branch returns the maximum available score. It does not unconditionally force a 1.00 score.</w:t>
            </w:r>
          </w:p>
        </w:tc>
      </w:tr>
    </w:tbl>
    <w:p>
      <w:pPr>
        <w:pStyle w:val="Normal"/>
        <w:spacing w:lineRule="auto" w:line="276"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APPENDIX G  DEPLOYMENT AND OPERATOR RUNBOOK</w:t>
      </w:r>
    </w:p>
    <w:p>
      <w:pPr>
        <w:pStyle w:val="Normal"/>
        <w:keepLines/>
        <w:spacing w:lineRule="auto" w:line="360" w:before="0" w:after="100"/>
        <w:rPr>
          <w:rFonts w:ascii="Times New Roman" w:hAnsi="Times New Roman"/>
        </w:rPr>
      </w:pPr>
      <w:r>
        <w:rPr>
          <w:rFonts w:eastAsia="Times New Roman" w:ascii="Times New Roman" w:hAnsi="Times New Roman"/>
          <w:sz w:val="24"/>
        </w:rPr>
        <w:t>The supported container topology contains two services. The backend loads the local weights and provides inference. The frontend serves the built React application through Nginx and forwards `/api` traffic to the backend over the Compose network. The host publishes only the frontend by default at 127.0.0.1:8080. The project calls this local deployment; host-level network isolation, firewall state, and external connectivity have not been independently audited.</w:t>
      </w:r>
    </w:p>
    <w:p>
      <w:pPr>
        <w:pStyle w:val="Heading2"/>
        <w:spacing w:lineRule="auto" w:line="360"/>
        <w:rPr>
          <w:rFonts w:ascii="Times New Roman" w:hAnsi="Times New Roman"/>
        </w:rPr>
      </w:pPr>
      <w:r>
        <w:rPr>
          <w:rFonts w:eastAsia="Times New Roman" w:ascii="Times New Roman" w:hAnsi="Times New Roman"/>
        </w:rPr>
        <w:t>G.1 Prerequisites and startup</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Install Docker Engine and the Docker Compose plugin on the host.</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Confirm models/final contains the email tokenizer and weights, audio checkpoint, and active video checkpoint expected by backend/main.py.</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Review docker-compose.yml and docs/docker_deployment.md; the model directory is mounted read-only and Transformers offline mode is enabled in the backend container.</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Build and start with `docker compose up --build -d` from the project root. The first image build may require package downloads; subsequent inference uses the local checkpoint files.</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Check container state with `docker compose ps`. Review backend and frontend service logs if a container exits or remains unhealthy.</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Open `http://127.0.0.1:8080`. Verify the health response at `/api/health`; the expected response reports `status: ok` and model availability for email, audio, video and multi-modal.</w:t>
      </w:r>
    </w:p>
    <w:p>
      <w:pPr>
        <w:pStyle w:val="Heading2"/>
        <w:spacing w:lineRule="auto" w:line="360"/>
        <w:rPr>
          <w:rFonts w:ascii="Times New Roman" w:hAnsi="Times New Roman"/>
        </w:rPr>
      </w:pPr>
      <w:r>
        <w:rPr>
          <w:rFonts w:eastAsia="Times New Roman" w:ascii="Times New Roman" w:hAnsi="Times New Roman"/>
        </w:rPr>
        <w:t>G.2 Readiness and shutdown</w:t>
      </w:r>
    </w:p>
    <w:p>
      <w:pPr>
        <w:pStyle w:val="Normal"/>
        <w:keepLines/>
        <w:spacing w:lineRule="auto" w:line="360" w:before="0" w:after="100"/>
        <w:rPr>
          <w:rFonts w:ascii="Times New Roman" w:hAnsi="Times New Roman"/>
        </w:rPr>
      </w:pPr>
      <w:r>
        <w:rPr>
          <w:rFonts w:eastAsia="Times New Roman" w:ascii="Times New Roman" w:hAnsi="Times New Roman"/>
          <w:sz w:val="24"/>
        </w:rPr>
        <w:t>The backend health check waits for model initialization and has a start period of 180 seconds. A successful HTTP response is not sufficient if one or more model entries are unavailable. Read each model availability field before using the corresponding scanner. For a graceful stop, run `docker compose down`; this stops the project containers but does not remove local model files or browser history. If the host is restarted, the Compose restart policy is `unless-stopped` and should restart previously enabled services.</w:t>
      </w:r>
    </w:p>
    <w:p>
      <w:pPr>
        <w:pStyle w:val="Heading2"/>
        <w:spacing w:lineRule="auto" w:line="360"/>
        <w:rPr>
          <w:rFonts w:ascii="Times New Roman" w:hAnsi="Times New Roman"/>
        </w:rPr>
      </w:pPr>
      <w:r>
        <w:rPr>
          <w:rFonts w:eastAsia="Times New Roman" w:ascii="Times New Roman" w:hAnsi="Times New Roman"/>
        </w:rPr>
        <w:t>G.3 Local address and exposure</w:t>
      </w:r>
    </w:p>
    <w:p>
      <w:pPr>
        <w:pStyle w:val="Normal"/>
        <w:keepLines/>
        <w:spacing w:lineRule="auto" w:line="360" w:before="0" w:after="100"/>
        <w:rPr>
          <w:rFonts w:ascii="Times New Roman" w:hAnsi="Times New Roman"/>
        </w:rPr>
      </w:pPr>
      <w:r>
        <w:rPr>
          <w:rFonts w:eastAsia="Times New Roman" w:ascii="Times New Roman" w:hAnsi="Times New Roman"/>
          <w:sz w:val="24"/>
        </w:rPr>
        <w:t>The default bind address is 127.0.0.1 to keep the interface reachable from the local machine only. A local `.env` can change SYNTHGUARD_PORT and SYNTHGUARD_BIND. Binding to 0.0.0.0 makes the UI reachable on network interfaces and should only be done with an intentional firewall and access-control plan. The current deployment configuration does not include user authentication, TLS termination, multi-tenant separation, or a server-side audit store.</w:t>
      </w:r>
    </w:p>
    <w:p>
      <w:pPr>
        <w:pStyle w:val="Heading2"/>
        <w:spacing w:lineRule="auto" w:line="360"/>
        <w:rPr>
          <w:rFonts w:ascii="Times New Roman" w:hAnsi="Times New Roman"/>
        </w:rPr>
      </w:pPr>
      <w:r>
        <w:rPr>
          <w:rFonts w:eastAsia="Times New Roman" w:ascii="Times New Roman" w:hAnsi="Times New Roman"/>
        </w:rPr>
        <w:t>G.4 Routine operator checks</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Check</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Expected observation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If it differs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Compose state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Frontend and backend running; backend healthy</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Read service logs; verify weight paths, memory and dependency availability.</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Health route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Each intended model available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Do not submit that modality until its local model loads.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Single-modality scan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 response includes the matching model name and score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 supported extensions, payload size/duration, and backend error details.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multi-modal scan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 status for every modality; omitted sensors marked accordingly</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Inspect `modality_status` and `modality_errors`; partial responses require review.</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Report persistence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History appears in the same browser profile after reload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Local storage may be cleared or unavailable; it is not a central record.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PDF export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Browser downloads one report for the selected analysis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Confirm browser download settings and verify the downloaded report ID.</w:t>
            </w:r>
          </w:p>
        </w:tc>
      </w:tr>
    </w:tbl>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APPENDIX H  MODEL AND EVALUATION EVIDENCE REGISTER</w:t>
      </w:r>
    </w:p>
    <w:p>
      <w:pPr>
        <w:pStyle w:val="Normal"/>
        <w:keepLines/>
        <w:spacing w:lineRule="auto" w:line="360" w:before="0" w:after="100"/>
        <w:rPr>
          <w:rFonts w:ascii="Times New Roman" w:hAnsi="Times New Roman"/>
        </w:rPr>
      </w:pPr>
      <w:r>
        <w:rPr>
          <w:rFonts w:eastAsia="Times New Roman" w:ascii="Times New Roman" w:hAnsi="Times New Roman"/>
          <w:sz w:val="24"/>
        </w:rPr>
        <w:t>This register identifies the artifacts present in the reviewed project snapshot and the claims that each artifact can support. A model file proves that a checkpoint exists; it does not prove which records were used to train or select it. Dataset names and labels likewise do not establish that a test split is independent from training data.</w:t>
      </w:r>
    </w:p>
    <w:p>
      <w:pPr>
        <w:pStyle w:val="Heading2"/>
        <w:spacing w:lineRule="auto" w:line="276"/>
        <w:rPr>
          <w:rFonts w:ascii="Times New Roman" w:hAnsi="Times New Roman"/>
        </w:rPr>
      </w:pPr>
      <w:r>
        <w:rPr>
          <w:rFonts w:eastAsia="Times New Roman" w:ascii="Times New Roman" w:hAnsi="Times New Roman"/>
        </w:rPr>
        <w:t>H.1 Model inventory</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9"/>
        <w:gridCol w:w="2329"/>
        <w:gridCol w:w="2329"/>
        <w:gridCol w:w="2328"/>
      </w:tblGrid>
      <w:tr>
        <w:trPr>
          <w:tblHeader w:val="true"/>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Modality</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Active path or configuration</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Implemented processing</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Evidence boundary</w:t>
            </w:r>
          </w:p>
        </w:tc>
      </w:tr>
      <w:tr>
        <w:trPr>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Email</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models/final/phishing_email/model.safetensors plus tokenizer files</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DistilBERT sequence classifier; truncation/padding to 256 tokens; phishing score from class 1.</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Checkpoint and tokenizer are present. The current test re-score is reproducible from saved data and checkpoint hash, but training lineage is not verified.</w:t>
            </w:r>
          </w:p>
        </w:tc>
      </w:tr>
      <w:tr>
        <w:trPr>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Audio</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models/final/audio_detector/audio_cnn_model.pth</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16 kHz decode; 40 MFCC coefficients; 2,048 FFT window; 512 hop; zero-pad/truncate to 300 frames; three-block CNN.</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Checkpoint and reconstructed predictions are present. The 500-row split is sample-random and lacks source grouping; checkpoint identity to the training log is unresolved.</w:t>
            </w:r>
          </w:p>
        </w:tc>
      </w:tr>
      <w:tr>
        <w:trPr>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models/final/video_detector/model.safetensors_2</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Sample video frames; MTCNN face detection; crop and resize; EfficientNet-B0 score averaging over up to five faces.</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Active checkpoint is present. No source-disjoint held-out test export or calibration record was found.</w:t>
            </w:r>
          </w:p>
        </w:tc>
      </w:tr>
      <w:tr>
        <w:trPr>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Fusion</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src/fusion.py</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Equal nominal weights renormalized over available scores; audio/video veto at 0.85 returns maximum score; 0.50 decision boundary.</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Software behavior is directly inspectable. No authentic paired scenario evaluation supports an accuracy claim.</w:t>
            </w:r>
          </w:p>
        </w:tc>
      </w:tr>
    </w:tbl>
    <w:p>
      <w:pPr>
        <w:pStyle w:val="Heading2"/>
        <w:spacing w:lineRule="auto" w:line="276"/>
        <w:rPr>
          <w:rFonts w:ascii="Times New Roman" w:hAnsi="Times New Roman"/>
        </w:rPr>
      </w:pPr>
      <w:r>
        <w:rPr>
          <w:rFonts w:eastAsia="Times New Roman" w:ascii="Times New Roman" w:hAnsi="Times New Roman"/>
        </w:rPr>
        <w:t>H.2 Email diagnostic re-score</w:t>
      </w:r>
    </w:p>
    <w:p>
      <w:pPr>
        <w:pStyle w:val="Normal"/>
        <w:keepLines/>
        <w:spacing w:lineRule="auto" w:line="360" w:before="0" w:after="100"/>
        <w:rPr>
          <w:rFonts w:ascii="Times New Roman" w:hAnsi="Times New Roman"/>
        </w:rPr>
      </w:pPr>
      <w:r>
        <w:rPr>
          <w:rFonts w:eastAsia="Times New Roman" w:ascii="Times New Roman" w:hAnsi="Times New Roman"/>
          <w:sz w:val="24"/>
        </w:rPr>
        <w:t>The current output in outputs/reports/email_test_metrics.json records an email re-score of the saved test pickle through the active local API. At threshold 0.50 it reports N=3,508; TP=1,308; TN=2,023; FP=173; and FN=4. Derived metrics are accuracy 94.95%, precision 88.32%, recall 99.70%, FPR 7.88%, and FNR 0.30%. The paired row file is outputs/reports/email_test_predictions.csv. The output includes a dataset hash and checkpoint hash. Its qualification states that training provenance is unknown; therefore, it is a checkpoint re-score, not proven held-out performance. One input exceeded the API character limit and was clipped. The 3,507-row unclipped subset yields 94.98% accuracy and 7.84% FPR, showing that this one clipped row does not account for the difference from the older Colab report.</w:t>
      </w:r>
    </w:p>
    <w:p>
      <w:pPr>
        <w:pStyle w:val="Heading2"/>
        <w:spacing w:lineRule="auto" w:line="360"/>
        <w:rPr>
          <w:rFonts w:ascii="Times New Roman" w:hAnsi="Times New Roman"/>
        </w:rPr>
      </w:pPr>
      <w:r>
        <w:rPr>
          <w:rFonts w:eastAsia="Times New Roman" w:ascii="Times New Roman" w:hAnsi="Times New Roman"/>
        </w:rPr>
        <w:t>H.3 Audio diagnostic re-score</w:t>
      </w:r>
    </w:p>
    <w:p>
      <w:pPr>
        <w:pStyle w:val="Normal"/>
        <w:keepLines/>
        <w:spacing w:lineRule="auto" w:line="360" w:before="0" w:after="100"/>
        <w:rPr>
          <w:rFonts w:ascii="Times New Roman" w:hAnsi="Times New Roman"/>
        </w:rPr>
      </w:pPr>
      <w:r>
        <w:rPr>
          <w:rFonts w:eastAsia="Times New Roman" w:ascii="Times New Roman" w:hAnsi="Times New Roman"/>
          <w:sz w:val="24"/>
        </w:rPr>
        <w:t>outputs/reports/audio_reconstructed_test_metrics.json records 500 rows reconstructed from the supplied Colab feature-batch ordering using a stratified random row split with random_state 42. It contains 449 spoof and 51 genuine samples. At both threshold 0.50 and the deployed threshold 0.45, the recorded counts are TP=448, TN=46, FP=5, FN=1; accuracy is 98.8%, precision 98.90%, recall 99.78%, FPR 9.80%, FNR 0.22%, and ROC AUC 99.75%. These estimates are highly uncertain for the genuine class because only 51 benign examples are in the reconstructed test set. The split has no speaker/session/source IDs; the checkpoint hash cannot be matched to the Colab artifact. Present it only as a diagnostic reconstruction, not a source-disjoint benchmark.</w:t>
      </w:r>
    </w:p>
    <w:p>
      <w:pPr>
        <w:pStyle w:val="Heading2"/>
        <w:spacing w:lineRule="auto" w:line="360"/>
        <w:rPr>
          <w:rFonts w:ascii="Times New Roman" w:hAnsi="Times New Roman"/>
        </w:rPr>
      </w:pPr>
      <w:r>
        <w:rPr>
          <w:rFonts w:eastAsia="Times New Roman" w:ascii="Times New Roman" w:hAnsi="Times New Roman"/>
        </w:rPr>
        <w:t>H.4 Video and fusion evidence status</w:t>
      </w:r>
    </w:p>
    <w:p>
      <w:pPr>
        <w:pStyle w:val="Normal"/>
        <w:keepLines/>
        <w:spacing w:lineRule="auto" w:line="360" w:before="0" w:after="100"/>
        <w:rPr>
          <w:rFonts w:ascii="Times New Roman" w:hAnsi="Times New Roman"/>
        </w:rPr>
      </w:pPr>
      <w:r>
        <w:rPr>
          <w:rFonts w:eastAsia="Times New Roman" w:ascii="Times New Roman" w:hAnsi="Times New Roman"/>
          <w:sz w:val="24"/>
        </w:rPr>
        <w:t>The video training excerpt supplied during project review reports validation accuracy during a random split of cached face tensors. The log does not establish source-video grouping and refers to a checkpoint export that is not the same named file as the active `model.safetensors_2` checkpoint. It cannot be used as the active model’s test accuracy. The fallback tau=0.7920 is loaded when no calibration file is present; the transformation shifts logits so that tau maps to 0.50. It is a score recentering rule, not evidence of empirically verified probability calibration.</w:t>
      </w:r>
    </w:p>
    <w:p>
      <w:pPr>
        <w:pStyle w:val="Normal"/>
        <w:keepLines/>
        <w:spacing w:lineRule="auto" w:line="360" w:before="0" w:after="100"/>
        <w:rPr>
          <w:rFonts w:ascii="Times New Roman" w:hAnsi="Times New Roman"/>
        </w:rPr>
      </w:pPr>
      <w:r>
        <w:rPr>
          <w:rFonts w:eastAsia="Times New Roman" w:ascii="Times New Roman" w:hAnsi="Times New Roman"/>
          <w:sz w:val="24"/>
        </w:rPr>
        <w:t>The old ablation CSV contains percentages from a former pipeline. outputs/reports/README.md records that it paired independent modality datasets by labels and selected a video threshold on the same records used for scoring. The new runner requires scenario-level correspondence, group-separated validation and test records, and separate per-scenario predictions. No completed authentic paired manifest or new result bundle was found, so the old table is omitted from all claims in this report.</w:t>
      </w:r>
    </w:p>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rPr>
      </w:pPr>
      <w:r>
        <w:rPr>
          <w:rFonts w:eastAsia="Times New Roman" w:ascii="Times New Roman" w:hAnsi="Times New Roman"/>
        </w:rPr>
        <w:t>APPENDIX I  REPRODUCIBLE EVALUATION PROTOCOL</w:t>
      </w:r>
    </w:p>
    <w:p>
      <w:pPr>
        <w:pStyle w:val="Normal"/>
        <w:keepLines/>
        <w:spacing w:lineRule="auto" w:line="360" w:before="0" w:after="100"/>
        <w:rPr>
          <w:rFonts w:ascii="Times New Roman" w:hAnsi="Times New Roman"/>
        </w:rPr>
      </w:pPr>
      <w:r>
        <w:rPr>
          <w:rFonts w:eastAsia="Times New Roman" w:ascii="Times New Roman" w:hAnsi="Times New Roman"/>
          <w:sz w:val="24"/>
        </w:rPr>
        <w:t>The protocol below turns current diagnostics into a stronger, auditable evaluation. It separates re-scoring from model training, keeps source groups intact, freezes thresholds before the test set is scored, and publishes enough information for another reviewer to reproduce the reported counts.</w:t>
      </w:r>
    </w:p>
    <w:p>
      <w:pPr>
        <w:pStyle w:val="Heading2"/>
        <w:spacing w:lineRule="auto" w:line="360"/>
        <w:rPr>
          <w:rFonts w:ascii="Times New Roman" w:hAnsi="Times New Roman"/>
        </w:rPr>
      </w:pPr>
      <w:r>
        <w:rPr>
          <w:rFonts w:eastAsia="Times New Roman" w:ascii="Times New Roman" w:hAnsi="Times New Roman"/>
        </w:rPr>
        <w:t>I.1 Email checkpoint lineage</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Record the SHA-256 of the active checkpoint, tokenizer, training and test datasets, and prediction script version.</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Recover the exact training notebook or run log that created the active checkpoint. Confirm whether any test examples were used for training, early stopping, threshold selection, or model selection.</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Re-score the fixed test pickle with no preprocessing changes. Export one row per example with sample ID, true label, raw score, predicted label, threshold, and whether input truncation or clipping occurred.</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Compute TP, TN, FP, FN directly from that CSV; report class denominators and metrics at the predeclared 0.50 threshold.</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If lineage cannot be established, label the output diagnostic re-score and do not call it a held-out estimate. Create a new source-aware split and retrain only if the study needs defensible generalization metrics.</w:t>
      </w:r>
    </w:p>
    <w:p>
      <w:pPr>
        <w:pStyle w:val="Heading2"/>
        <w:spacing w:lineRule="auto" w:line="360"/>
        <w:rPr>
          <w:rFonts w:ascii="Times New Roman" w:hAnsi="Times New Roman"/>
        </w:rPr>
      </w:pPr>
      <w:r>
        <w:rPr>
          <w:rFonts w:eastAsia="Times New Roman" w:ascii="Times New Roman" w:hAnsi="Times New Roman"/>
        </w:rPr>
        <w:t>I.2 Audio and video split design</w:t>
      </w:r>
    </w:p>
    <w:p>
      <w:pPr>
        <w:pStyle w:val="Normal"/>
        <w:keepLines/>
        <w:spacing w:lineRule="auto" w:line="360" w:before="0" w:after="100"/>
        <w:rPr>
          <w:rFonts w:ascii="Times New Roman" w:hAnsi="Times New Roman"/>
        </w:rPr>
      </w:pPr>
      <w:r>
        <w:rPr>
          <w:rFonts w:eastAsia="Times New Roman" w:ascii="Times New Roman" w:hAnsi="Times New Roman"/>
          <w:sz w:val="24"/>
        </w:rPr>
        <w:t>Audio records must carry a stable speaker, session, recording, or source ID. Related segments from one recording must not be distributed across training, validation, and test. Video records must carry source video, actor, and manipulation-pair identifiers where available; original and manipulated versions derived from the same source must remain in one split. Use group-stratified assignment where feasible, publish the split manifest, and report class counts and excluded/failed samples.</w:t>
      </w:r>
    </w:p>
    <w:p>
      <w:pPr>
        <w:pStyle w:val="Normal"/>
        <w:keepLines/>
        <w:spacing w:lineRule="auto" w:line="360" w:before="0" w:after="100"/>
        <w:rPr>
          <w:rFonts w:ascii="Times New Roman" w:hAnsi="Times New Roman"/>
        </w:rPr>
      </w:pPr>
      <w:r>
        <w:rPr>
          <w:rFonts w:eastAsia="Times New Roman" w:ascii="Times New Roman" w:hAnsi="Times New Roman"/>
          <w:sz w:val="24"/>
        </w:rPr>
        <w:t>Threshold selection belongs on validation data. For video, record the validation manifest hash, active checkpoint hash, candidate metric and threshold selection rule, then freeze the selected value before the test pass. Do not select tau or the final decision boundary by looking at test outcomes. Store raw scores as well as transformed scores so the effect of the calibration step can be inspected.</w:t>
      </w:r>
    </w:p>
    <w:p>
      <w:pPr>
        <w:pStyle w:val="Heading2"/>
        <w:spacing w:lineRule="auto" w:line="360"/>
        <w:rPr>
          <w:rFonts w:ascii="Times New Roman" w:hAnsi="Times New Roman"/>
        </w:rPr>
      </w:pPr>
      <w:r>
        <w:rPr>
          <w:rFonts w:eastAsia="Times New Roman" w:ascii="Times New Roman" w:hAnsi="Times New Roman"/>
        </w:rPr>
        <w:t>I.3 Paired fusion scenario protocol</w:t>
      </w:r>
    </w:p>
    <w:p>
      <w:pPr>
        <w:pStyle w:val="Normal"/>
        <w:keepLines/>
        <w:spacing w:lineRule="auto" w:line="360" w:before="0" w:after="100"/>
        <w:rPr>
          <w:rFonts w:ascii="Times New Roman" w:hAnsi="Times New Roman"/>
        </w:rPr>
      </w:pPr>
      <w:r>
        <w:rPr>
          <w:rFonts w:eastAsia="Times New Roman" w:ascii="Times New Roman" w:hAnsi="Times New Roman"/>
          <w:sz w:val="24"/>
        </w:rPr>
        <w:t>A fusion row represents one genuine investigation scenario, not merely one threat label. Email, voice, and video must be linked to the same scenario where present. Record the overall scenario label separately from each modality label because a threat scenario can contain genuine audio or video, and a benign scenario may include a spoofed artifact used for a robustness test. Assign group_id to campaigns, actors, or source material and keep each group entirely within validation or test. Keep the written label policy independent of model outputs.</w:t>
      </w:r>
    </w:p>
    <w:p>
      <w:pPr>
        <w:pStyle w:val="Normal"/>
        <w:keepLines/>
        <w:spacing w:lineRule="auto" w:line="360" w:before="0" w:after="100"/>
        <w:rPr>
          <w:rFonts w:ascii="Times New Roman" w:hAnsi="Times New Roman"/>
        </w:rPr>
      </w:pPr>
      <w:r>
        <w:rPr>
          <w:rFonts w:eastAsia="Times New Roman" w:ascii="Times New Roman" w:hAnsi="Times New Roman"/>
          <w:sz w:val="24"/>
        </w:rPr>
        <w:t>Run the seven sensor subsets (email, audio, video, email+audio, email+video, audio+video, and all three) on rows with full coverage for the corresponding subset. Compare naive weighting, equal weighting, and veto only on equivalent subsets. Report coverage, confusion counts, per-scenario scores, group-bootstrap confidence intervals, checkpoint hashes, thresholds, manifest hash, runtime, and failure reasons. If pair authenticity is synthetic or scripted, report logic/stress-test outcomes rather than real-world accuracy.</w:t>
      </w:r>
    </w:p>
    <w:p>
      <w:pPr>
        <w:pStyle w:val="Heading2"/>
        <w:spacing w:lineRule="auto" w:line="360"/>
        <w:rPr>
          <w:rFonts w:ascii="Times New Roman" w:hAnsi="Times New Roman"/>
        </w:rPr>
      </w:pPr>
      <w:r>
        <w:rPr>
          <w:rFonts w:eastAsia="Times New Roman" w:ascii="Times New Roman" w:hAnsi="Times New Roman"/>
        </w:rPr>
        <w:t>I.4 Metric formulas and reporting</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Metric</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Definition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Interpretation</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Accuracy</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(TP + TN) / (TP + TN + FP + FN)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Share of evaluated examples classified correctly; depends on class mix.</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Precision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TP / (TP + FP)</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How often predicted threats are true threats in the evaluation sample.</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Recall / TPR</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TP / (TP + FN)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Fraction of threat examples detected.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FPR</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FP / (FP + TN)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Fraction of benign examples incorrectly escalated.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FNR</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FN / (FN + TP)</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Fraction of threat examples missed.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ROC AUC</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Area under the ROC curve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Ranking discrimination over thresholds; does not identify the operating threshold.</w:t>
            </w:r>
          </w:p>
        </w:tc>
      </w:tr>
    </w:tbl>
    <w:p>
      <w:pPr>
        <w:pStyle w:val="Normal"/>
        <w:keepLines/>
        <w:spacing w:lineRule="auto" w:line="360" w:before="0" w:after="100"/>
        <w:rPr>
          <w:rFonts w:ascii="Times New Roman" w:hAnsi="Times New Roman"/>
        </w:rPr>
      </w:pPr>
      <w:r>
        <w:rPr>
          <w:rFonts w:eastAsia="Times New Roman" w:ascii="Times New Roman" w:hAnsi="Times New Roman"/>
          <w:sz w:val="24"/>
        </w:rPr>
        <w:t>Always provide denominators. A low FNR estimated from a small threat set, or a low FPR estimated from a small benign set, can have a wide uncertainty interval. Confidence intervals do not correct for leakage, label errors, distribution shift, or an unrepresentative source population.</w:t>
      </w:r>
      <w:r>
        <w:br w:type="page"/>
      </w:r>
    </w:p>
    <w:p>
      <w:pPr>
        <w:pStyle w:val="Heading1"/>
        <w:spacing w:lineRule="auto" w:line="360" w:before="0" w:after="80"/>
        <w:rPr>
          <w:rFonts w:ascii="Times New Roman" w:hAnsi="Times New Roman"/>
        </w:rPr>
      </w:pPr>
      <w:r>
        <w:rPr>
          <w:rFonts w:eastAsia="Times New Roman" w:ascii="Times New Roman" w:hAnsi="Times New Roman"/>
        </w:rPr>
        <w:t>APPENDIX J  PRIVACY, SECURITY, AND LIMITATIONS</w:t>
      </w:r>
    </w:p>
    <w:p>
      <w:pPr>
        <w:pStyle w:val="Heading2"/>
        <w:spacing w:lineRule="auto" w:line="360"/>
        <w:rPr>
          <w:rFonts w:ascii="Times New Roman" w:hAnsi="Times New Roman"/>
        </w:rPr>
      </w:pPr>
      <w:r>
        <w:rPr>
          <w:rFonts w:eastAsia="Times New Roman" w:ascii="Times New Roman" w:hAnsi="Times New Roman"/>
        </w:rPr>
        <w:t>J.1 Data handling boundaries</w:t>
      </w:r>
    </w:p>
    <w:p>
      <w:pPr>
        <w:pStyle w:val="Normal"/>
        <w:keepLines/>
        <w:spacing w:lineRule="auto" w:line="360" w:before="0" w:after="100"/>
        <w:rPr>
          <w:rFonts w:ascii="Times New Roman" w:hAnsi="Times New Roman"/>
        </w:rPr>
      </w:pPr>
      <w:r>
        <w:rPr>
          <w:rFonts w:eastAsia="Times New Roman" w:ascii="Times New Roman" w:hAnsi="Times New Roman"/>
          <w:sz w:val="24"/>
        </w:rPr>
        <w:t>The intended deployment keeps inference inside the host running the local containers. Uploaded audio and video are streamed to temporary files for processing, then the endpoint removes those temporary files after inference. Email text is handled in memory by the API. The browser’s PDF report is generated client-side. The local threat-report history stores only metadata such as the analysis identifier, timestamp, verdict, score, modality scores, statuses, summary, and indicators; it does not persist uploaded base64 video frames as the history payload. Browser localStorage is profile-local and can be cleared by the user or browser policies.</w:t>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1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
                    <pic:cNvPicPr>
                      <a:picLocks noChangeAspect="1" noChangeArrowheads="1"/>
                    </pic:cNvPicPr>
                  </pic:nvPicPr>
                  <pic:blipFill>
                    <a:blip r:embed="rId18"/>
                    <a:stretch>
                      <a:fillRect/>
                    </a:stretch>
                  </pic:blipFill>
                  <pic:spPr bwMode="auto">
                    <a:xfrm>
                      <a:off x="0" y="0"/>
                      <a:ext cx="6080760" cy="2871470"/>
                    </a:xfrm>
                    <a:prstGeom prst="rect">
                      <a:avLst/>
                    </a:prstGeom>
                    <a:noFill/>
                  </pic:spPr>
                </pic:pic>
              </a:graphicData>
            </a:graphic>
          </wp:inline>
        </w:drawing>
      </w:r>
    </w:p>
    <w:p>
      <w:pPr>
        <w:pStyle w:val="Caption"/>
        <w:spacing w:lineRule="auto" w:line="360"/>
        <w:jc w:val="center"/>
        <w:rPr>
          <w:rFonts w:ascii="Times New Roman" w:hAnsi="Times New Roman"/>
        </w:rPr>
      </w:pPr>
      <w:r>
        <w:rPr>
          <w:rFonts w:ascii="Times New Roman" w:hAnsi="Times New Roman"/>
          <w:sz w:val="24"/>
        </w:rPr>
        <w:t>Figure J.1. Evidence and report lifecycle across the local API and analyst browser.</w:t>
      </w:r>
    </w:p>
    <w:p>
      <w:pPr>
        <w:pStyle w:val="Normal"/>
        <w:keepLines/>
        <w:spacing w:lineRule="auto" w:line="360" w:before="0" w:after="100"/>
        <w:rPr>
          <w:rFonts w:ascii="Times New Roman" w:hAnsi="Times New Roman"/>
        </w:rPr>
      </w:pPr>
      <w:r>
        <w:rPr>
          <w:rFonts w:eastAsia="Times New Roman" w:ascii="Times New Roman" w:hAnsi="Times New Roman"/>
          <w:sz w:val="24"/>
        </w:rPr>
        <w:t>Local execution is not synonymous with a verified air gap. The software configuration enables offline model loading and does not publish the backend port to the host under the default Compose file, but the host may still have network access, dependency installation may contact package registries, and the application does not provide authentication or encryption for network exposure. Any claim of isolation should be limited to the tested deployment boundary and host configuration.</w:t>
      </w:r>
    </w:p>
    <w:p>
      <w:pPr>
        <w:pStyle w:val="Heading2"/>
        <w:spacing w:lineRule="auto" w:line="360"/>
        <w:rPr>
          <w:rFonts w:ascii="Times New Roman" w:hAnsi="Times New Roman"/>
        </w:rPr>
      </w:pPr>
      <w:r>
        <w:rPr>
          <w:rFonts w:eastAsia="Times New Roman" w:ascii="Times New Roman" w:hAnsi="Times New Roman"/>
        </w:rPr>
        <w:t>J.2 Threat model</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Concern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Current control or behavior</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Residual risk</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Oversized uploads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Per-modality size/duration limits and request-body cap.</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Resource exhaustion remains possible within limits; host memory/GPU and concurrent load are not benchmarked.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Unsupported file formats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Extension allowlists and empty-file checks.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Extension is not a complete content validation mechanism; decoder behavior depends on installed libraries.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 unavailable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Health response exposes model availability; endpoint returns service errors.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Users may misinterpret a partial scan unless every modality status is reviewed.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Sensitive evidence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Local processing; temporary upload files removed after inference.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Host/container logs, crash dumps, backups, browser downloads, and disk security remain deployment responsibilities.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Report retention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Browser-only metadata and user-initiated local PDF export.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History is not tamper-resistant or centrally backed up; browser storage can be modified or removed.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False verdict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Scores and sensor status are displayed; result is decision support.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No human escalation workflow, calibrated risk model, or real-world operational performance study is established.</w:t>
            </w:r>
          </w:p>
        </w:tc>
      </w:tr>
    </w:tbl>
    <w:p>
      <w:pPr>
        <w:pStyle w:val="Heading2"/>
        <w:spacing w:lineRule="auto" w:line="360"/>
        <w:rPr>
          <w:rFonts w:ascii="Times New Roman" w:hAnsi="Times New Roman"/>
        </w:rPr>
      </w:pPr>
      <w:r>
        <w:rPr>
          <w:rFonts w:eastAsia="Times New Roman" w:ascii="Times New Roman" w:hAnsi="Times New Roman"/>
        </w:rPr>
        <w:t>J.3 Responsible use</w:t>
      </w:r>
    </w:p>
    <w:p>
      <w:pPr>
        <w:pStyle w:val="Normal"/>
        <w:keepLines/>
        <w:spacing w:lineRule="auto" w:line="360" w:before="0" w:after="100"/>
        <w:rPr>
          <w:rFonts w:ascii="Times New Roman" w:hAnsi="Times New Roman"/>
        </w:rPr>
      </w:pPr>
      <w:r>
        <w:rPr>
          <w:rFonts w:eastAsia="Times New Roman" w:ascii="Times New Roman" w:hAnsi="Times New Roman"/>
          <w:sz w:val="24"/>
        </w:rPr>
        <w:t>SynthGuard should be used to prioritize further review, not as the sole basis for financial transfers, employment decisions, identity verification, or allegations of fraud. Analysts should verify requests through a separate trusted channel, especially when a message demands secrecy, urgency, credential changes, or payment redirection. A low model score does not prove an input is safe; a high score does not prove malicious intent. Preserve original evidence and record the model version, score, and investigation context according to the organization’s approved handling procedure.</w:t>
      </w:r>
    </w:p>
    <w:p>
      <w:pPr>
        <w:pStyle w:val="Heading2"/>
        <w:spacing w:lineRule="auto" w:line="360"/>
        <w:rPr>
          <w:rFonts w:ascii="Times New Roman" w:hAnsi="Times New Roman" w:eastAsia="Times New Roman"/>
        </w:rPr>
      </w:pPr>
      <w:r>
        <w:rPr>
          <w:rFonts w:eastAsia="Times New Roman" w:ascii="Times New Roman" w:hAnsi="Times New Roman"/>
        </w:rPr>
      </w:r>
    </w:p>
    <w:p>
      <w:pPr>
        <w:pStyle w:val="Normal"/>
        <w:spacing w:lineRule="auto" w:line="360"/>
        <w:rPr>
          <w:rFonts w:ascii="Times New Roman" w:hAnsi="Times New Roman" w:eastAsia="Times New Roman"/>
        </w:rPr>
      </w:pPr>
      <w:r>
        <w:rPr>
          <w:rFonts w:eastAsia="Times New Roman" w:ascii="Times New Roman" w:hAnsi="Times New Roman"/>
        </w:rPr>
      </w:r>
    </w:p>
    <w:p>
      <w:pPr>
        <w:pStyle w:val="Heading2"/>
        <w:spacing w:lineRule="auto" w:line="360"/>
        <w:rPr>
          <w:rFonts w:ascii="Times New Roman" w:hAnsi="Times New Roman" w:eastAsia="Times New Roman"/>
        </w:rPr>
      </w:pPr>
      <w:r>
        <w:rPr>
          <w:rFonts w:eastAsia="Times New Roman" w:ascii="Times New Roman" w:hAnsi="Times New Roman"/>
        </w:rPr>
        <w:t>J.4 Known limitations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The three scores are not documented as jointly calibrated; their arithmetic mean is an operational heuristic.</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Dynamic fusion uses only available scores. The meaning of the resulting score changes with the set of present modalities.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The audio veto returns the highest available sensor score and can dominate the mean; false-alarm behavior is not established on a source-disjoint paired test set.</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Video face detection can fail on occlusion, pose, low resolution, no visible face, or severe compression; the system does not assess every frame.</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Dataset and checkpoint lineage are incomplete for some historical training artifacts, and the available diagnostic splits lack source grouping.</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No independent security assessment, deployment penetration test, latency study, or multi-user concurrency study is included.</w:t>
      </w:r>
    </w:p>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rPr>
      </w:pPr>
      <w:r>
        <w:rPr>
          <w:rFonts w:eastAsia="Times New Roman" w:ascii="Times New Roman" w:hAnsi="Times New Roman"/>
        </w:rPr>
        <w:t>APPENDIX K  ANALYST USER GUIDE</w:t>
      </w:r>
    </w:p>
    <w:p>
      <w:pPr>
        <w:pStyle w:val="Heading2"/>
        <w:spacing w:lineRule="auto" w:line="360"/>
        <w:rPr>
          <w:rFonts w:ascii="Times New Roman" w:hAnsi="Times New Roman"/>
        </w:rPr>
      </w:pPr>
      <w:r>
        <w:rPr>
          <w:rFonts w:eastAsia="Times New Roman" w:ascii="Times New Roman" w:hAnsi="Times New Roman"/>
        </w:rPr>
        <w:t>K.1 Start an investigation</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Open the local SynthGuard workspace and confirm the Local Environment indicator is visible.</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Check the dashboard’s model status. If a required model is unavailable, do not rely on that sensor; report the availability issue to the operator.</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Choose Email Intelligence, Audio Forensics, Video Forensics, or multi-modal Fusion based on the evidence available.</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Enter email text or select supported audio/video files. In Fusion, provide any combination of modalities; the application skips missing inputs and reports their status.</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Review the upload name, supported formats, limits and input content before submission. Do not treat the interface as an evidence redaction or sanitization system.</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Run the scan. Review each sensor score, label, forensic indicator, analysis ID and modality status. A partial result requires review of the failed signal before a conclusion is recorded.</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Use Export PDF Report to download a locally generated PDF for the current scan. The PDF contains the analysis ID, generation time, score, verdict, modality telemetry, summary and indicators.</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Open Threat Reports to review prior metadata records in the current browser profile. Download an individual PDF from its record when needed.</w:t>
      </w:r>
    </w:p>
    <w:p>
      <w:pPr>
        <w:pStyle w:val="Heading2"/>
        <w:spacing w:lineRule="auto" w:line="360"/>
        <w:rPr>
          <w:rFonts w:ascii="Times New Roman" w:hAnsi="Times New Roman"/>
        </w:rPr>
      </w:pPr>
      <w:r>
        <w:rPr>
          <w:rFonts w:eastAsia="Times New Roman" w:ascii="Times New Roman" w:hAnsi="Times New Roman"/>
        </w:rPr>
        <w:t>K.2 Reading the score and verdict</w:t>
      </w:r>
    </w:p>
    <w:p>
      <w:pPr>
        <w:pStyle w:val="Normal"/>
        <w:keepLines/>
        <w:spacing w:lineRule="auto" w:line="360" w:before="0" w:after="100"/>
        <w:rPr>
          <w:rFonts w:ascii="Times New Roman" w:hAnsi="Times New Roman"/>
        </w:rPr>
      </w:pPr>
      <w:r>
        <w:rPr>
          <w:rFonts w:eastAsia="Times New Roman" w:ascii="Times New Roman" w:hAnsi="Times New Roman"/>
          <w:sz w:val="24"/>
        </w:rPr>
        <w:t>The score is the detector output transformed by each modality’s implementation. It is not a statistical guarantee that the event has that exact probability of being malicious. The label is produced by a configured threshold. The text interface reports an email-specific verdict; audio and video views report modality-specific synthetic-signal verdicts; Fusion reports an aggregate threat verdict. A missing signal should remain visible as “not provided” or “not processed,” not be interpreted as a benign score.</w:t>
      </w:r>
    </w:p>
    <w:p>
      <w:pPr>
        <w:pStyle w:val="Heading2"/>
        <w:spacing w:lineRule="auto" w:line="360"/>
        <w:rPr>
          <w:rFonts w:ascii="Times New Roman" w:hAnsi="Times New Roman"/>
        </w:rPr>
      </w:pPr>
      <w:r>
        <w:rPr>
          <w:rFonts w:eastAsia="Times New Roman" w:ascii="Times New Roman" w:hAnsi="Times New Roman"/>
        </w:rPr>
        <w:t>K.3 Report storage and retention</w:t>
      </w:r>
    </w:p>
    <w:p>
      <w:pPr>
        <w:pStyle w:val="Normal"/>
        <w:keepLines/>
        <w:spacing w:lineRule="auto" w:line="360" w:before="0" w:after="100"/>
        <w:rPr>
          <w:rFonts w:ascii="Times New Roman" w:hAnsi="Times New Roman"/>
        </w:rPr>
      </w:pPr>
      <w:r>
        <w:rPr>
          <w:rFonts w:eastAsia="Times New Roman" w:ascii="Times New Roman" w:hAnsi="Times New Roman"/>
          <w:sz w:val="24"/>
        </w:rPr>
        <w:t>The report history is stored in localStorage under the browser key `synthguard_threat_reports`. It remains available after reloads in that browser profile until cleared or replaced, but it is not written to the FastAPI database because this project has no server-side report database. Client-side PDF export downloads a file to the user’s configured download location. Users should follow institutional policy before storing sensitive inputs or downloaded reports on a shared device.</w:t>
      </w:r>
    </w:p>
    <w:p>
      <w:pPr>
        <w:pStyle w:val="Heading2"/>
        <w:spacing w:lineRule="auto" w:line="360"/>
        <w:rPr>
          <w:rFonts w:ascii="Times New Roman" w:hAnsi="Times New Roman"/>
        </w:rPr>
      </w:pPr>
      <w:r>
        <w:rPr>
          <w:rFonts w:eastAsia="Times New Roman" w:ascii="Times New Roman" w:hAnsi="Times New Roman"/>
        </w:rPr>
        <w:t>K.4 User-facing error handling</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Observed condition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Meaning</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Recommended action</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 unavailable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That model did not load.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 /api/health and backend logs; do not use that sensor.</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No face detected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No accepted face region was found.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 format, quality and visible face; this is not a benign verdict.</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Upload rejected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The file failed a type, size or duration limit.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Use a supported, authorized input within configured limits.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Partial analysis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One or more supplied sensors failed.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Inspect modality_status and modality_errors before recording a conclusion.</w:t>
            </w:r>
          </w:p>
        </w:tc>
      </w:tr>
    </w:tbl>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rPr>
      </w:pPr>
      <w:r>
        <w:rPr>
          <w:rFonts w:eastAsia="Times New Roman" w:ascii="Times New Roman" w:hAnsi="Times New Roman"/>
        </w:rPr>
        <w:t>APPENDIX L  MAINTENANCE AND ACCEPTANCE CHECKLIST</w:t>
      </w:r>
    </w:p>
    <w:p>
      <w:pPr>
        <w:pStyle w:val="Normal"/>
        <w:keepLines/>
        <w:spacing w:lineRule="auto" w:line="360" w:before="0" w:after="100"/>
        <w:rPr>
          <w:rFonts w:ascii="Times New Roman" w:hAnsi="Times New Roman"/>
        </w:rPr>
      </w:pPr>
      <w:r>
        <w:rPr>
          <w:rFonts w:eastAsia="Times New Roman" w:ascii="Times New Roman" w:hAnsi="Times New Roman"/>
          <w:sz w:val="24"/>
        </w:rPr>
        <w:t>This checklist is an operational handoff aid. It records the items an administrator or project reviewer should verify at the time of a fresh deployment or before academic demonstration. It is not evidence that those checks have been completed unless a dated record is added.</w:t>
      </w:r>
    </w:p>
    <w:p>
      <w:pPr>
        <w:pStyle w:val="Heading2"/>
        <w:spacing w:lineRule="auto" w:line="360"/>
        <w:rPr>
          <w:rFonts w:ascii="Times New Roman" w:hAnsi="Times New Roman"/>
        </w:rPr>
      </w:pPr>
      <w:r>
        <w:rPr>
          <w:rFonts w:eastAsia="Times New Roman" w:ascii="Times New Roman" w:hAnsi="Times New Roman"/>
        </w:rPr>
        <w:t>L.1 Pre-demonstration checks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Confirm the project commit or source archive and active checkpoint files are recorded with hashes.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Start the Compose services and save the health response with timestamp and model availability.</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Run one representative input through each available single-modality scanner and one multi-modal combination; record analysis IDs and whether every expected signal processed.</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Verify a PDF can be downloaded and matches the analysis ID, then confirm a report record persists after page reload in the same browser profile.</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Confirm report-history limitations and local-storage behavior are described to the user.</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Use benign and threat-labeled controlled examples only when authorization and dataset licensing permit; do not infer benchmark accuracy from demonstration scans.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For academic performance claims, attach per-sample predictions, split manifests, model hashes, threshold records, confusion counts and the actual checker output for the final report version.</w:t>
      </w:r>
    </w:p>
    <w:p>
      <w:pPr>
        <w:pStyle w:val="Heading2"/>
        <w:spacing w:lineRule="auto" w:line="360"/>
        <w:rPr>
          <w:rFonts w:ascii="Times New Roman" w:hAnsi="Times New Roman"/>
        </w:rPr>
      </w:pPr>
      <w:r>
        <w:rPr>
          <w:rFonts w:eastAsia="Times New Roman" w:ascii="Times New Roman" w:hAnsi="Times New Roman"/>
        </w:rPr>
        <w:t>L.2 Evidence custody</w:t>
      </w:r>
    </w:p>
    <w:p>
      <w:pPr>
        <w:pStyle w:val="Normal"/>
        <w:keepLines/>
        <w:spacing w:lineRule="auto" w:line="360" w:before="0" w:after="100"/>
        <w:rPr>
          <w:rFonts w:ascii="Times New Roman" w:hAnsi="Times New Roman" w:eastAsia="Times New Roman"/>
          <w:sz w:val="24"/>
        </w:rPr>
      </w:pPr>
      <w:r>
        <w:rPr>
          <w:rFonts w:eastAsia="Times New Roman" w:ascii="Times New Roman" w:hAnsi="Times New Roman"/>
          <w:sz w:val="24"/>
        </w:rPr>
        <w:t>For any future evaluation, keep the manifest, predictions, metric summary, run metadata, calibration artifact and model hashes together in a dated output folder. Preserve the exact software revision and dependency versions. Record missing rows and failures instead of dropping them silently. A second person should be able to follow the recorded procedure without access to an untracked Colab session or informal memory of how a split was formed.</w:t>
      </w:r>
      <w:r>
        <w:br w:type="page"/>
      </w:r>
    </w:p>
    <w:p>
      <w:pPr>
        <w:pStyle w:val="Heading2"/>
        <w:spacing w:lineRule="auto" w:line="360"/>
        <w:rPr>
          <w:rFonts w:ascii="Times New Roman" w:hAnsi="Times New Roman"/>
        </w:rPr>
      </w:pPr>
      <w:r>
        <w:rPr>
          <w:rFonts w:eastAsia="Times New Roman" w:ascii="Times New Roman" w:hAnsi="Times New Roman"/>
        </w:rPr>
        <w:t>L.3 Completion criteria for research claims</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58"/>
        <w:gridCol w:w="4657"/>
      </w:tblGrid>
      <w:tr>
        <w:trPr>
          <w:tblHeader w:val="true"/>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Claim category</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Minimum evidence before reporting</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Email held-out performance</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Independent training/test lineage, fixed test split, prediction-level export, metric recomputation and checkpoint hash.</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Audio/video performance</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Group-separated source manifest, active-checkpoint hash, frozen threshold, per-record scores and class denominators.</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 calibration</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Validation-only threshold selection record; calibration method and validation data stated; frozen parameter before test scoring.</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Fusion advantage</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Authentic scenario-level modality correspondence, split-independent groups, common subset coverage, paired predictions and uncertainty intervals.</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Privacy or isolation</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Deployment configuration and host/network boundary evidence; avoid “air-gapped” without independently verified isolation.</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Similarity result</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Institution-approved checker export tied to the final submitted document, with settings/date and reviewed matches.</w:t>
            </w:r>
          </w:p>
        </w:tc>
      </w:tr>
    </w:tbl>
    <w:sectPr>
      <w:footerReference w:type="even" r:id="rId19"/>
      <w:footerReference w:type="default" r:id="rId20"/>
      <w:footerReference w:type="first" r:id="rId21"/>
      <w:type w:val="nextPage"/>
      <w:pgSz w:w="11906" w:h="16838"/>
      <w:pgMar w:left="1009" w:right="1009" w:gutter="0" w:header="0" w:top="1009" w:footer="529" w:bottom="1033"/>
      <w:pgBorders w:display="allPages" w:offsetFrom="page">
        <w:top w:val="thickThinMediumGap" w:sz="18" w:space="24" w:color="000000"/>
        <w:left w:val="thickThinMediumGap" w:sz="18" w:space="24" w:color="000000"/>
        <w:bottom w:val="thickThinMediumGap" w:sz="18" w:space="25" w:color="000000"/>
        <w:right w:val="thickThinMediumGap" w:sz="18"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auto"/>
    <w:pitch w:val="default"/>
  </w:font>
  <w:font w:name="Times New Roman">
    <w:charset w:val="01"/>
    <w:family w:val="auto"/>
    <w:pitch w:val="default"/>
  </w:font>
  <w:font w:name="Calibri">
    <w:charset w:val="01"/>
    <w:family w:val="auto"/>
    <w:pitch w:val="default"/>
  </w:font>
  <w:font w:name="Courier">
    <w:altName w:val="Courier New"/>
    <w:charset w:val="01"/>
    <w:family w:val="auto"/>
    <w:pitch w:val="default"/>
  </w:font>
  <w:font w:name="Aptos Display">
    <w:charset w:val="01"/>
    <w:family w:val="auto"/>
    <w:pitch w:val="default"/>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80"/>
      <w:outlineLvl w:val="0"/>
    </w:pPr>
    <w:rPr>
      <w:rFonts w:ascii="Calibri" w:hAnsi="Calibri" w:eastAsia="ＭＳ ゴシック" w:cs="" w:asciiTheme="majorHAnsi" w:cstheme="majorBidi" w:eastAsiaTheme="majorEastAsia" w:hAnsiTheme="majorHAnsi"/>
      <w:b/>
      <w:bCs/>
      <w:color w:val="162A3C"/>
      <w:sz w:val="32"/>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ＭＳ ゴシック" w:cs="" w:asciiTheme="majorHAnsi" w:cstheme="majorBidi" w:eastAsiaTheme="majorEastAsia" w:hAnsiTheme="majorHAnsi"/>
      <w:b/>
      <w:bCs/>
      <w:color w:val="162A3C"/>
      <w:sz w:val="26"/>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ＭＳ ゴシック" w:cs="" w:asciiTheme="majorHAnsi" w:cstheme="majorBidi" w:eastAsiaTheme="majorEastAsia" w:hAnsiTheme="majorHAnsi"/>
      <w:b/>
      <w:bCs/>
      <w:color w:val="162A3C"/>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Aptos Display" w:hAnsi="Aptos Display" w:eastAsia="Noto Sans" w:cs="FreeSans"/>
      <w:sz w:val="28"/>
      <w:szCs w:val="28"/>
    </w:rPr>
  </w:style>
  <w:style w:type="paragraph" w:styleId="BodyText">
    <w:name w:val="Body Text"/>
    <w:basedOn w:val="Normal"/>
    <w:link w:val="BodyTextChar"/>
    <w:uiPriority w:val="99"/>
    <w:unhideWhenUsed/>
    <w:rsid w:val="00aa1d8d"/>
    <w:pPr>
      <w:spacing w:lineRule="auto" w:line="259" w:before="0" w:after="120"/>
    </w:pPr>
    <w:rPr>
      <w:rFonts w:ascii="Times New Roman" w:hAnsi="Times New Roman" w:eastAsia="Times New Roman"/>
      <w:sz w:val="24"/>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b/>
      <w:bCs/>
      <w:color w:val="000000"/>
      <w:sz w:val="24"/>
      <w:szCs w:val="18"/>
    </w:rPr>
  </w:style>
  <w:style w:type="paragraph" w:styleId="Index">
    <w:name w:val="Index"/>
    <w:basedOn w:val="Normal"/>
    <w:qFormat/>
    <w:pPr>
      <w:suppressLineNumbers/>
    </w:pPr>
    <w:rPr>
      <w:rFonts w:ascii="Aptos Display" w:hAnsi="Aptos Display" w:cs="FreeSans"/>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259" w:before="0" w:after="120"/>
      <w:ind w:left="720"/>
      <w:contextualSpacing/>
    </w:pPr>
    <w:rPr>
      <w:rFonts w:ascii="Times New Roman" w:hAnsi="Times New Roman" w:eastAsia="Times New Roman"/>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able" w:customStyle="1">
    <w:name w:val="Small Table"/>
    <w:qFormat/>
    <w:pPr>
      <w:widowControl/>
      <w:bidi w:val="0"/>
      <w:spacing w:lineRule="auto" w:line="240" w:before="0" w:after="0"/>
      <w:jc w:val="left"/>
    </w:pPr>
    <w:rPr>
      <w:rFonts w:ascii="Times New Roman" w:hAnsi="Times New Roman" w:eastAsia="Times New Roman" w:cs="" w:cstheme="minorBidi"/>
      <w:color w:val="auto"/>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9.png"/><Relationship Id="rId18" Type="http://schemas.openxmlformats.org/officeDocument/2006/relationships/image" Target="media/image15.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LibreOffice/25.2.3.2$Linux_X86_64 LibreOffice_project/520$Build-2</Application>
  <AppVersion>15.0000</AppVersion>
  <Pages>64</Pages>
  <Words>15618</Words>
  <Characters>94181</Characters>
  <CharactersWithSpaces>108980</CharactersWithSpaces>
  <Paragraphs>809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Jay Shravan Kumar Sharma</dc:creator>
  <dc:description>Draft report with evidence limitations explicitly documented.</dc:description>
  <cp:keywords>SynthGuard threat intelligence phishing audio spoofing deepfake video project documentation</cp:keywords>
  <dc:language>en-IN</dc:language>
  <cp:lastModifiedBy/>
  <dcterms:modified xsi:type="dcterms:W3CDTF">2026-10-20T02:22:13Z</dcterms:modified>
  <cp:revision>4</cp:revision>
  <dc:subject>Project report for the SynthGuard multimodal threat-analysis prototype</dc:subject>
  <dc:title>SynthGuard Project Documentation – Revised</dc:title>
</cp:coreProperties>
</file>

<file path=docProps/custom.xml><?xml version="1.0" encoding="utf-8"?>
<Properties xmlns="http://schemas.openxmlformats.org/officeDocument/2006/custom-properties" xmlns:vt="http://schemas.openxmlformats.org/officeDocument/2006/docPropsVTypes"/>
</file>