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pPr>
    </w:p>
    <w:p>
      <w:pPr>
        <w:spacing w:line="259" w:lineRule="auto" w:after="100"/>
        <w:jc w:val="center"/>
      </w:pPr>
      <w:r>
        <w:rPr>
          <w:rFonts w:ascii="Times New Roman" w:hAnsi="Times New Roman" w:eastAsia="Times New Roman"/>
          <w:b/>
          <w:sz w:val="28"/>
        </w:rPr>
        <w:t>A PROJECT REPORT</w:t>
      </w:r>
    </w:p>
    <w:p>
      <w:pPr>
        <w:spacing w:line="259" w:lineRule="auto" w:after="100"/>
        <w:jc w:val="center"/>
      </w:pPr>
      <w:r>
        <w:rPr>
          <w:rFonts w:ascii="Times New Roman" w:hAnsi="Times New Roman" w:eastAsia="Times New Roman"/>
          <w:i w:val="0"/>
          <w:sz w:val="24"/>
        </w:rPr>
        <w:t>on</w:t>
      </w:r>
    </w:p>
    <w:p>
      <w:pPr>
        <w:spacing w:before="160" w:after="400" w:line="259" w:lineRule="auto"/>
        <w:jc w:val="center"/>
      </w:pPr>
      <w:r>
        <w:rPr>
          <w:rFonts w:ascii="Times New Roman" w:hAnsi="Times New Roman" w:eastAsia="Times New Roman"/>
          <w:b/>
          <w:color w:val="0F2B41"/>
          <w:sz w:val="42"/>
        </w:rPr>
        <w:t>SynthGuard Project Documentation</w:t>
      </w:r>
    </w:p>
    <w:p>
      <w:pPr>
        <w:spacing w:after="360" w:line="259" w:lineRule="auto"/>
        <w:jc w:val="center"/>
      </w:pPr>
      <w:r>
        <w:rPr>
          <w:rFonts w:ascii="Times New Roman" w:hAnsi="Times New Roman" w:eastAsia="Times New Roman"/>
          <w:b/>
          <w:sz w:val="30"/>
        </w:rPr>
        <w:t>Multimodal Threat Intelligence and Deepfake Defense System</w:t>
      </w:r>
    </w:p>
    <w:p>
      <w:pPr>
        <w:spacing w:line="259" w:lineRule="auto" w:after="100"/>
        <w:jc w:val="center"/>
      </w:pPr>
      <w:r>
        <w:rPr>
          <w:rFonts w:ascii="Times New Roman" w:hAnsi="Times New Roman" w:eastAsia="Times New Roman"/>
          <w:i/>
          <w:sz w:val="24"/>
        </w:rPr>
        <w:t>Submitted by</w:t>
      </w:r>
    </w:p>
    <w:p>
      <w:pPr>
        <w:spacing w:after="240" w:line="259" w:lineRule="auto"/>
        <w:jc w:val="center"/>
      </w:pPr>
      <w:r>
        <w:rPr>
          <w:rFonts w:ascii="Times New Roman" w:hAnsi="Times New Roman" w:eastAsia="Times New Roman"/>
          <w:b/>
          <w:sz w:val="28"/>
        </w:rPr>
        <w:t>Jay Shravan Kumar Sharma  |  TYCS47</w:t>
      </w:r>
    </w:p>
    <w:p>
      <w:pPr>
        <w:spacing w:line="259" w:lineRule="auto" w:after="100"/>
        <w:jc w:val="center"/>
      </w:pPr>
      <w:r>
        <w:rPr>
          <w:rFonts w:ascii="Times New Roman" w:hAnsi="Times New Roman" w:eastAsia="Times New Roman"/>
          <w:i/>
          <w:sz w:val="24"/>
        </w:rPr>
        <w:t>in partial fulfilment of the requirements for the degree of</w:t>
      </w:r>
    </w:p>
    <w:p>
      <w:pPr>
        <w:spacing w:after="80" w:line="259" w:lineRule="auto"/>
        <w:jc w:val="center"/>
      </w:pPr>
      <w:r>
        <w:rPr>
          <w:rFonts w:ascii="Times New Roman" w:hAnsi="Times New Roman" w:eastAsia="Times New Roman"/>
          <w:b/>
          <w:sz w:val="28"/>
        </w:rPr>
        <w:t>BACHELOR OF SCIENCE</w:t>
      </w:r>
    </w:p>
    <w:p>
      <w:pPr>
        <w:spacing w:after="80" w:line="259" w:lineRule="auto"/>
        <w:jc w:val="center"/>
      </w:pPr>
      <w:r>
        <w:rPr>
          <w:rFonts w:ascii="Times New Roman" w:hAnsi="Times New Roman" w:eastAsia="Times New Roman"/>
          <w:b w:val="0"/>
          <w:sz w:val="24"/>
        </w:rPr>
        <w:t>in</w:t>
      </w:r>
    </w:p>
    <w:p>
      <w:pPr>
        <w:spacing w:after="80" w:line="259" w:lineRule="auto"/>
        <w:jc w:val="center"/>
      </w:pPr>
      <w:r>
        <w:rPr>
          <w:rFonts w:ascii="Times New Roman" w:hAnsi="Times New Roman" w:eastAsia="Times New Roman"/>
          <w:b/>
          <w:sz w:val="28"/>
        </w:rPr>
        <w:t>COMPUTER SCIENCE</w:t>
      </w:r>
    </w:p>
    <w:p>
      <w:pPr>
        <w:spacing w:before="60" w:after="60"/>
        <w:jc w:val="center"/>
      </w:pPr>
      <w:r>
        <w:drawing>
          <wp:inline xmlns:a="http://schemas.openxmlformats.org/drawingml/2006/main" xmlns:pic="http://schemas.openxmlformats.org/drawingml/2006/picture">
            <wp:extent cx="868680" cy="776739"/>
            <wp:docPr id="11" name="Picture 11"/>
            <wp:cNvGraphicFramePr>
              <a:graphicFrameLocks noChangeAspect="1"/>
            </wp:cNvGraphicFramePr>
            <a:graphic>
              <a:graphicData uri="http://schemas.openxmlformats.org/drawingml/2006/picture">
                <pic:pic>
                  <pic:nvPicPr>
                    <pic:cNvPr id="0" name="logo-000.png"/>
                    <pic:cNvPicPr/>
                  </pic:nvPicPr>
                  <pic:blipFill>
                    <a:blip r:embed="rId20"/>
                    <a:stretch>
                      <a:fillRect/>
                    </a:stretch>
                  </pic:blipFill>
                  <pic:spPr>
                    <a:xfrm>
                      <a:off x="0" y="0"/>
                      <a:ext cx="868680" cy="776739"/>
                    </a:xfrm>
                    <a:prstGeom prst="rect"/>
                  </pic:spPr>
                </pic:pic>
              </a:graphicData>
            </a:graphic>
          </wp:inline>
        </w:drawing>
      </w:r>
    </w:p>
    <w:p>
      <w:pPr>
        <w:spacing w:line="259" w:lineRule="auto" w:after="100"/>
        <w:jc w:val="center"/>
      </w:pPr>
      <w:r>
        <w:rPr>
          <w:rFonts w:ascii="Times New Roman" w:hAnsi="Times New Roman" w:eastAsia="Times New Roman"/>
          <w:sz w:val="24"/>
        </w:rPr>
        <w:t>Semester 5</w:t>
      </w:r>
    </w:p>
    <w:p>
      <w:pPr>
        <w:spacing w:line="259" w:lineRule="auto" w:after="100"/>
        <w:jc w:val="center"/>
      </w:pPr>
      <w:r>
        <w:rPr>
          <w:rFonts w:ascii="Times New Roman" w:hAnsi="Times New Roman" w:eastAsia="Times New Roman"/>
          <w:i/>
          <w:sz w:val="24"/>
        </w:rPr>
        <w:t>Under the guidance of</w:t>
      </w:r>
    </w:p>
    <w:p>
      <w:pPr>
        <w:spacing w:line="259" w:lineRule="auto" w:after="100"/>
        <w:jc w:val="center"/>
      </w:pPr>
      <w:r>
        <w:rPr>
          <w:rFonts w:ascii="Times New Roman" w:hAnsi="Times New Roman" w:eastAsia="Times New Roman"/>
          <w:i w:val="0"/>
          <w:sz w:val="24"/>
        </w:rPr>
        <w:t>Mrs. Krupa Kamdar</w:t>
      </w:r>
    </w:p>
    <w:p>
      <w:pPr>
        <w:spacing w:line="259" w:lineRule="auto" w:after="100"/>
        <w:jc w:val="center"/>
      </w:pPr>
      <w:r>
        <w:rPr>
          <w:rFonts w:ascii="Times New Roman" w:hAnsi="Times New Roman" w:eastAsia="Times New Roman"/>
          <w:i w:val="0"/>
          <w:sz w:val="24"/>
        </w:rPr>
        <w:t>Department of Computer Science</w:t>
      </w:r>
    </w:p>
    <w:p>
      <w:pPr>
        <w:spacing w:line="259" w:lineRule="auto" w:after="100"/>
      </w:pPr>
    </w:p>
    <w:p>
      <w:pPr>
        <w:spacing w:after="100" w:line="259" w:lineRule="auto"/>
        <w:jc w:val="center"/>
      </w:pPr>
      <w:r>
        <w:rPr>
          <w:rFonts w:ascii="Times New Roman" w:hAnsi="Times New Roman" w:eastAsia="Times New Roman"/>
          <w:b/>
          <w:sz w:val="24"/>
        </w:rPr>
        <w:t>BHARATIYA VIDYA BHAVAN’S BHAVAN’S COLLEGE (EMPOWERED AUTONOMOUS)</w:t>
      </w:r>
    </w:p>
    <w:p>
      <w:pPr>
        <w:spacing w:after="100" w:line="259" w:lineRule="auto"/>
        <w:jc w:val="center"/>
      </w:pPr>
      <w:r>
        <w:rPr>
          <w:rFonts w:ascii="Times New Roman" w:hAnsi="Times New Roman" w:eastAsia="Times New Roman"/>
          <w:b w:val="0"/>
          <w:sz w:val="24"/>
        </w:rPr>
        <w:t>University of Mumbai</w:t>
      </w:r>
    </w:p>
    <w:p>
      <w:pPr>
        <w:spacing w:line="259" w:lineRule="auto" w:after="100"/>
        <w:jc w:val="center"/>
      </w:pPr>
      <w:r>
        <w:rPr>
          <w:rFonts w:ascii="Times New Roman" w:hAnsi="Times New Roman" w:eastAsia="Times New Roman"/>
          <w:sz w:val="24"/>
        </w:rPr>
        <w:t>Andheri (West), Mumbai 400058</w:t>
      </w:r>
    </w:p>
    <w:p>
      <w:pPr>
        <w:spacing w:after="100" w:line="259" w:lineRule="auto"/>
        <w:jc w:val="center"/>
      </w:pPr>
      <w:r>
        <w:rPr>
          <w:rFonts w:ascii="Times New Roman" w:hAnsi="Times New Roman" w:eastAsia="Times New Roman"/>
          <w:b w:val="0"/>
          <w:sz w:val="24"/>
        </w:rPr>
        <w:t>Academic Year 2026–2027</w:t>
      </w:r>
    </w:p>
    <w:p>
      <w:pPr>
        <w:spacing w:before="60" w:after="60"/>
        <w:jc w:val="center"/>
      </w:pPr>
      <w:r>
        <w:drawing>
          <wp:inline xmlns:a="http://schemas.openxmlformats.org/drawingml/2006/main" xmlns:pic="http://schemas.openxmlformats.org/drawingml/2006/picture">
            <wp:extent cx="868680" cy="757999"/>
            <wp:docPr id="12" name="Picture 12"/>
            <wp:cNvGraphicFramePr>
              <a:graphicFrameLocks noChangeAspect="1"/>
            </wp:cNvGraphicFramePr>
            <a:graphic>
              <a:graphicData uri="http://schemas.openxmlformats.org/drawingml/2006/picture">
                <pic:pic>
                  <pic:nvPicPr>
                    <pic:cNvPr id="0" name="logo-001.png"/>
                    <pic:cNvPicPr/>
                  </pic:nvPicPr>
                  <pic:blipFill>
                    <a:blip r:embed="rId21"/>
                    <a:stretch>
                      <a:fillRect/>
                    </a:stretch>
                  </pic:blipFill>
                  <pic:spPr>
                    <a:xfrm>
                      <a:off x="0" y="0"/>
                      <a:ext cx="868680" cy="757999"/>
                    </a:xfrm>
                    <a:prstGeom prst="rect"/>
                  </pic:spPr>
                </pic:pic>
              </a:graphicData>
            </a:graphic>
          </wp:inline>
        </w:drawing>
      </w:r>
    </w:p>
    <w:p>
      <w:pPr>
        <w:spacing w:after="100" w:line="259" w:lineRule="auto"/>
        <w:jc w:val="center"/>
      </w:pPr>
      <w:r>
        <w:rPr>
          <w:rFonts w:ascii="Times New Roman" w:hAnsi="Times New Roman" w:eastAsia="Times New Roman"/>
          <w:b w:val="0"/>
          <w:sz w:val="24"/>
        </w:rPr>
        <w:t>Submission date: 21 October 2026</w:t>
      </w:r>
    </w:p>
    <w:p>
      <w:pPr>
        <w:spacing w:line="259" w:lineRule="auto" w:after="100"/>
      </w:pPr>
      <w:r>
        <w:rPr>
          <w:rFonts w:ascii="Times New Roman" w:hAnsi="Times New Roman" w:eastAsia="Times New Roman"/>
          <w:sz w:val="24"/>
        </w:rPr>
        <w:br w:type="page"/>
      </w:r>
    </w:p>
    <w:p>
      <w:pPr>
        <w:spacing w:line="259" w:lineRule="auto" w:after="100"/>
        <w:jc w:val="center"/>
      </w:pPr>
      <w:r>
        <w:rPr>
          <w:rFonts w:ascii="Times New Roman" w:hAnsi="Times New Roman" w:eastAsia="Times New Roman"/>
          <w:b/>
          <w:sz w:val="32"/>
        </w:rPr>
        <w:t>BHARATIYA VIDYA BHAVAN’S BHAVAN’S COLLEGE (EMPOWERED AUTONOMOUS)</w:t>
        <w:br/>
        <w:t>Department of Computer Science</w:t>
        <w:br/>
        <w:br/>
        <w:t>CERTIFICATE</w:t>
      </w:r>
    </w:p>
    <w:p>
      <w:pPr>
        <w:spacing w:line="259" w:lineRule="auto" w:after="100"/>
      </w:pPr>
      <w:r>
        <w:rPr>
          <w:rFonts w:ascii="Times New Roman" w:hAnsi="Times New Roman" w:eastAsia="Times New Roman"/>
          <w:i w:val="0"/>
          <w:sz w:val="24"/>
        </w:rPr>
        <w:t>This is to certify that Jay Shravan Kumar Sharma (TYCS47), a student of Bachelor of Science in Computer Science, has completed the project report titled “SynthGuard Project Documentation: Multimodal Threat Intelligence and Deepfake Defense System” during the academic year 2026–2027 under the guidance of Mrs. Krupa Kamdar.</w:t>
      </w:r>
    </w:p>
    <w:p>
      <w:pPr>
        <w:spacing w:line="259" w:lineRule="auto" w:after="100"/>
      </w:pPr>
      <w:r>
        <w:rPr>
          <w:rFonts w:ascii="Times New Roman" w:hAnsi="Times New Roman" w:eastAsia="Times New Roman"/>
          <w:i w:val="0"/>
          <w:sz w:val="24"/>
        </w:rPr>
        <w:t>The report is submitted in partial fulfilment of the requirements for the degree of Bachelor of Science in Computer Science.</w:t>
      </w:r>
    </w:p>
    <w:p>
      <w:pPr>
        <w:spacing w:line="259" w:lineRule="auto" w:after="100"/>
      </w:pPr>
    </w:p>
    <w:p>
      <w:pPr>
        <w:spacing w:line="259" w:lineRule="auto" w:after="100"/>
      </w:pPr>
    </w:p>
    <w:p>
      <w:pPr>
        <w:spacing w:line="259" w:lineRule="auto" w:after="100"/>
      </w:pPr>
      <w:r>
        <w:rPr>
          <w:rFonts w:ascii="Times New Roman" w:hAnsi="Times New Roman" w:eastAsia="Times New Roman"/>
          <w:i w:val="0"/>
          <w:sz w:val="24"/>
        </w:rPr>
        <w:t>Date: ____________________</w:t>
      </w:r>
    </w:p>
    <w:p>
      <w:pPr>
        <w:spacing w:line="259" w:lineRule="auto" w:after="100"/>
      </w:pPr>
      <w:r>
        <w:rPr>
          <w:rFonts w:ascii="Times New Roman" w:hAnsi="Times New Roman" w:eastAsia="Times New Roman"/>
          <w:i w:val="0"/>
          <w:sz w:val="24"/>
        </w:rPr>
        <w:t>Project Guide: ______________________________</w:t>
      </w:r>
    </w:p>
    <w:p>
      <w:pPr>
        <w:spacing w:line="259" w:lineRule="auto" w:after="100"/>
      </w:pPr>
      <w:r>
        <w:rPr>
          <w:rFonts w:ascii="Times New Roman" w:hAnsi="Times New Roman" w:eastAsia="Times New Roman"/>
          <w:i w:val="0"/>
          <w:sz w:val="24"/>
        </w:rPr>
        <w:t>Head / In-charge: ___________________________</w:t>
      </w:r>
    </w:p>
    <w:p>
      <w:pPr>
        <w:spacing w:line="259" w:lineRule="auto" w:after="100"/>
      </w:pPr>
      <w:r>
        <w:rPr>
          <w:rFonts w:ascii="Times New Roman" w:hAnsi="Times New Roman" w:eastAsia="Times New Roman"/>
          <w:i w:val="0"/>
          <w:sz w:val="24"/>
        </w:rPr>
        <w:t>Signature of Examiner: ______________________</w:t>
      </w:r>
    </w:p>
    <w:p>
      <w:pPr>
        <w:spacing w:line="259" w:lineRule="auto" w:after="100"/>
      </w:pPr>
      <w:r>
        <w:rPr>
          <w:rFonts w:ascii="Times New Roman" w:hAnsi="Times New Roman" w:eastAsia="Times New Roman"/>
          <w:i w:val="0"/>
          <w:sz w:val="24"/>
        </w:rPr>
        <w:t>College Seal: _______________________________</w:t>
      </w:r>
    </w:p>
    <w:p>
      <w:pPr>
        <w:spacing w:line="259" w:lineRule="auto" w:after="100"/>
      </w:pPr>
      <w:r>
        <w:rPr>
          <w:rFonts w:ascii="Times New Roman" w:hAnsi="Times New Roman" w:eastAsia="Times New Roman"/>
          <w:sz w:val="24"/>
        </w:rPr>
        <w:br w:type="page"/>
      </w:r>
    </w:p>
    <w:p>
      <w:pPr>
        <w:spacing w:line="259" w:lineRule="auto" w:after="100"/>
        <w:jc w:val="center"/>
      </w:pPr>
      <w:r>
        <w:rPr>
          <w:rFonts w:ascii="Times New Roman" w:hAnsi="Times New Roman" w:eastAsia="Times New Roman"/>
          <w:b/>
          <w:sz w:val="36"/>
        </w:rPr>
        <w:t>DECLARATION</w:t>
      </w:r>
    </w:p>
    <w:p>
      <w:pPr>
        <w:spacing w:line="259" w:lineRule="auto" w:after="100"/>
      </w:pPr>
      <w:r>
        <w:rPr>
          <w:rFonts w:ascii="Times New Roman" w:hAnsi="Times New Roman" w:eastAsia="Times New Roman"/>
          <w:i w:val="0"/>
          <w:sz w:val="24"/>
        </w:rPr>
        <w:t>I, Jay Shravan Kumar Sharma (TYCS47), declare that this project report, titled “SynthGuard Project Documentation: Multimodal Threat Intelligence and Deepfake Defense System,” is submitted in partial fulfilment of the requirements for the Bachelor of Science in Computer Science. I have described the implementation and evaluation evidence available in the project repository, identified limitations in the provenance of diagnostic results, and cited external material used in the report. I will attach the institution-approved similarity-check output after reviewing the final report version.</w:t>
      </w:r>
    </w:p>
    <w:p>
      <w:pPr>
        <w:spacing w:line="259" w:lineRule="auto" w:after="100"/>
      </w:pPr>
      <w:r>
        <w:rPr>
          <w:rFonts w:ascii="Times New Roman" w:hAnsi="Times New Roman" w:eastAsia="Times New Roman"/>
          <w:i w:val="0"/>
          <w:sz w:val="24"/>
        </w:rPr>
        <w:t>Please sign and date this declaration before submission.</w:t>
      </w:r>
    </w:p>
    <w:p>
      <w:pPr>
        <w:spacing w:line="259" w:lineRule="auto" w:after="100"/>
      </w:pPr>
    </w:p>
    <w:p>
      <w:pPr>
        <w:spacing w:line="259" w:lineRule="auto" w:after="100"/>
      </w:pPr>
    </w:p>
    <w:p>
      <w:pPr>
        <w:spacing w:line="259" w:lineRule="auto" w:after="100"/>
      </w:pPr>
      <w:r>
        <w:rPr>
          <w:rFonts w:ascii="Times New Roman" w:hAnsi="Times New Roman" w:eastAsia="Times New Roman"/>
          <w:i w:val="0"/>
          <w:sz w:val="24"/>
        </w:rPr>
        <w:t>Student signature: __________________________</w:t>
      </w:r>
    </w:p>
    <w:p>
      <w:pPr>
        <w:spacing w:line="259" w:lineRule="auto" w:after="100"/>
      </w:pPr>
      <w:r>
        <w:rPr>
          <w:rFonts w:ascii="Times New Roman" w:hAnsi="Times New Roman" w:eastAsia="Times New Roman"/>
          <w:i w:val="0"/>
          <w:sz w:val="24"/>
        </w:rPr>
        <w:t>Place: _____________________________________</w:t>
      </w:r>
    </w:p>
    <w:p>
      <w:pPr>
        <w:spacing w:line="259" w:lineRule="auto" w:after="100"/>
      </w:pPr>
      <w:r>
        <w:rPr>
          <w:rFonts w:ascii="Times New Roman" w:hAnsi="Times New Roman" w:eastAsia="Times New Roman"/>
          <w:i w:val="0"/>
          <w:sz w:val="24"/>
        </w:rPr>
        <w:t>Date: ______________________________________</w:t>
      </w:r>
    </w:p>
    <w:p>
      <w:pPr>
        <w:spacing w:line="259" w:lineRule="auto" w:after="100"/>
      </w:pPr>
      <w:r>
        <w:rPr>
          <w:rFonts w:ascii="Times New Roman" w:hAnsi="Times New Roman" w:eastAsia="Times New Roman"/>
          <w:sz w:val="24"/>
        </w:rPr>
        <w:br w:type="page"/>
      </w:r>
    </w:p>
    <w:p>
      <w:pPr>
        <w:pStyle w:val="Heading1"/>
        <w:pageBreakBefore/>
      </w:pPr>
      <w:r>
        <w:rPr>
          <w:rFonts w:ascii="Times New Roman" w:hAnsi="Times New Roman" w:eastAsia="Times New Roman"/>
        </w:rPr>
        <w:t>ACKNOWLEDGEMENT</w:t>
      </w:r>
    </w:p>
    <w:p>
      <w:pPr>
        <w:spacing w:line="259" w:lineRule="auto" w:after="100"/>
      </w:pPr>
      <w:r>
        <w:rPr>
          <w:rFonts w:ascii="Times New Roman" w:hAnsi="Times New Roman" w:eastAsia="Times New Roman"/>
          <w:sz w:val="24"/>
        </w:rPr>
        <w:t>I would like to express my sincere gratitude to Mrs. Krupa Kamdar, my project guide, for her direction and feedback throughout the development of SynthGuard. Her guidance helped me refine the project scope, examine the implementation critically, and distinguish software behavior from evidence that still requires controlled evaluation. I am grateful to the Department of Computer Science at Bharatiya Vidya Bhavan’s Bhavan’s College (Empowered Autonomous) for providing the academic environment in which I could complete this work. I also thank my family and friends for their patience and encouragement. Finally, I acknowledge the maintainers of the datasets and software libraries cited in this report; their work made this prototype possible. Any remaining errors in the report are my responsibility.</w:t>
      </w:r>
    </w:p>
    <w:p>
      <w:pPr>
        <w:pageBreakBefore/>
        <w:spacing w:line="259" w:lineRule="auto" w:after="100"/>
        <w:jc w:val="center"/>
      </w:pPr>
      <w:r>
        <w:rPr>
          <w:rFonts w:ascii="Times New Roman" w:hAnsi="Times New Roman" w:eastAsia="Times New Roman"/>
          <w:b/>
          <w:sz w:val="32"/>
        </w:rPr>
        <w:t>TABLE OF CONTENTS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584"/>
        <w:gridCol w:w="6696"/>
        <w:gridCol w:w="1080"/>
      </w:tblGrid>
      <w:tr>
        <w:trPr>
          <w:tblHeader w:val="true"/>
        </w:trPr>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Chapter</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Title</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Page</w:t>
            </w:r>
          </w:p>
        </w:tc>
      </w:tr>
      <w:tr>
        <w:tc>
          <w:tcPr>
            <w:tcW w:type="dxa" w:w="1584"/>
            <w:vAlign w:val="center"/>
            <w:tcMar>
              <w:top w:w="80" w:type="dxa"/>
              <w:start w:w="95" w:type="dxa"/>
              <w:bottom w:w="80" w:type="dxa"/>
              <w:end w:w="95" w:type="dxa"/>
            </w:tcMar>
          </w:tcPr>
          <w:p>
            <w:pPr>
              <w:pStyle w:val="SmallTable"/>
              <w:spacing w:after="40" w:line="240" w:lineRule="auto"/>
              <w:jc w:val="center"/>
            </w:pPr>
            <w:r>
              <w:rPr>
                <w:rFonts w:ascii="Times New Roman" w:hAnsi="Times New Roman" w:eastAsia="Times New Roman"/>
                <w:sz w:val="24"/>
              </w:rPr>
            </w:r>
            <w:r>
              <w:rPr>
                <w:rFonts w:ascii="Times New Roman" w:hAnsi="Times New Roman" w:eastAsia="Times New Roman"/>
                <w:b w:val="0"/>
                <w:sz w:val="24"/>
              </w:rPr>
              <w:t>Front matter</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Title page</w:t>
            </w:r>
          </w:p>
        </w:tc>
        <w:tc>
          <w:tcPr>
            <w:tcW w:type="dxa" w:w="1080"/>
            <w:vAlign w:val="center"/>
            <w:tcMar>
              <w:top w:w="80" w:type="dxa"/>
              <w:start w:w="95" w:type="dxa"/>
              <w:bottom w:w="80" w:type="dxa"/>
              <w:end w:w="95" w:type="dxa"/>
            </w:tcMar>
          </w:tcPr>
          <w:p>
            <w:r>
              <w:t>1</w:t>
            </w:r>
          </w:p>
        </w:tc>
      </w:tr>
      <w:tr>
        <w:tc>
          <w:tcPr>
            <w:tcW w:type="dxa" w:w="1584"/>
            <w:vAlign w:val="center"/>
            <w:tcMar>
              <w:top w:w="80" w:type="dxa"/>
              <w:start w:w="95" w:type="dxa"/>
              <w:bottom w:w="80" w:type="dxa"/>
              <w:end w:w="95" w:type="dxa"/>
            </w:tcMar>
            <w:shd w:fill="F1F5F8"/>
          </w:tcPr>
          <w:p>
            <w:pPr>
              <w:pStyle w:val="SmallTable"/>
              <w:spacing w:after="40" w:line="240" w:lineRule="auto"/>
              <w:jc w:val="center"/>
            </w:pPr>
            <w:r>
              <w:rPr>
                <w:rFonts w:ascii="Times New Roman" w:hAnsi="Times New Roman" w:eastAsia="Times New Roman"/>
                <w:sz w:val="24"/>
              </w:rPr>
            </w:r>
            <w:r>
              <w:rPr>
                <w:rFonts w:ascii="Times New Roman" w:hAnsi="Times New Roman" w:eastAsia="Times New Roman"/>
                <w:b w:val="0"/>
                <w:sz w:val="24"/>
              </w:rPr>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Certificate</w:t>
            </w:r>
          </w:p>
        </w:tc>
        <w:tc>
          <w:tcPr>
            <w:tcW w:type="dxa" w:w="1080"/>
            <w:vAlign w:val="center"/>
            <w:tcMar>
              <w:top w:w="80" w:type="dxa"/>
              <w:start w:w="95" w:type="dxa"/>
              <w:bottom w:w="80" w:type="dxa"/>
              <w:end w:w="95" w:type="dxa"/>
            </w:tcMar>
            <w:shd w:fill="F1F5F8"/>
          </w:tcPr>
          <w:p>
            <w:r>
              <w:t>2</w:t>
            </w:r>
          </w:p>
        </w:tc>
      </w:tr>
      <w:tr>
        <w:tc>
          <w:tcPr>
            <w:tcW w:type="dxa" w:w="1584"/>
            <w:vAlign w:val="center"/>
            <w:tcMar>
              <w:top w:w="80" w:type="dxa"/>
              <w:start w:w="95" w:type="dxa"/>
              <w:bottom w:w="80" w:type="dxa"/>
              <w:end w:w="95" w:type="dxa"/>
            </w:tcMar>
          </w:tcPr>
          <w:p>
            <w:pPr>
              <w:pStyle w:val="SmallTable"/>
              <w:spacing w:after="40" w:line="240" w:lineRule="auto"/>
              <w:jc w:val="center"/>
            </w:pPr>
            <w:r>
              <w:rPr>
                <w:rFonts w:ascii="Times New Roman" w:hAnsi="Times New Roman" w:eastAsia="Times New Roman"/>
                <w:sz w:val="24"/>
              </w:rPr>
            </w:r>
            <w:r>
              <w:rPr>
                <w:rFonts w:ascii="Times New Roman" w:hAnsi="Times New Roman" w:eastAsia="Times New Roman"/>
                <w:b w:val="0"/>
                <w:sz w:val="24"/>
              </w:rPr>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Declaration</w:t>
            </w:r>
          </w:p>
        </w:tc>
        <w:tc>
          <w:tcPr>
            <w:tcW w:type="dxa" w:w="1080"/>
            <w:vAlign w:val="center"/>
            <w:tcMar>
              <w:top w:w="80" w:type="dxa"/>
              <w:start w:w="95" w:type="dxa"/>
              <w:bottom w:w="80" w:type="dxa"/>
              <w:end w:w="95" w:type="dxa"/>
            </w:tcMar>
          </w:tcPr>
          <w:p>
            <w:r>
              <w:t>3</w:t>
            </w:r>
          </w:p>
        </w:tc>
      </w:tr>
      <w:tr>
        <w:tc>
          <w:tcPr>
            <w:tcW w:type="dxa" w:w="1584"/>
            <w:vAlign w:val="center"/>
          </w:tcPr>
          <w:p>
            <w:pPr>
              <w:spacing w:after="40" w:line="240" w:lineRule="auto"/>
            </w:pPr>
            <w:r>
              <w:rPr>
                <w:rFonts w:ascii="Times New Roman" w:hAnsi="Times New Roman" w:eastAsia="Times New Roman"/>
                <w:sz w:val="24"/>
              </w:rPr>
            </w:r>
          </w:p>
        </w:tc>
        <w:tc>
          <w:tcPr>
            <w:tcW w:type="dxa" w:w="6696"/>
            <w:vAlign w:val="center"/>
          </w:tcPr>
          <w:p>
            <w:pPr>
              <w:spacing w:after="40" w:line="240" w:lineRule="auto"/>
            </w:pPr>
            <w:r>
              <w:rPr>
                <w:rFonts w:ascii="Times New Roman" w:hAnsi="Times New Roman" w:eastAsia="Times New Roman"/>
                <w:sz w:val="24"/>
              </w:rPr>
              <w:t>Acknowledgement</w:t>
            </w:r>
          </w:p>
        </w:tc>
        <w:tc>
          <w:tcPr>
            <w:tcW w:type="dxa" w:w="1080"/>
            <w:vAlign w:val="center"/>
          </w:tcPr>
          <w:p>
            <w:r>
              <w:t>4</w:t>
            </w:r>
          </w:p>
        </w:tc>
      </w:tr>
      <w:tr>
        <w:tc>
          <w:tcPr>
            <w:tcW w:type="dxa" w:w="1584"/>
            <w:vAlign w:val="center"/>
            <w:tcMar>
              <w:top w:w="80" w:type="dxa"/>
              <w:start w:w="95" w:type="dxa"/>
              <w:bottom w:w="80" w:type="dxa"/>
              <w:end w:w="95" w:type="dxa"/>
            </w:tcMar>
            <w:shd w:fill="F1F5F8"/>
          </w:tcPr>
          <w:p>
            <w:pPr>
              <w:pStyle w:val="SmallTable"/>
              <w:spacing w:after="40" w:line="240" w:lineRule="auto"/>
              <w:jc w:val="center"/>
            </w:pPr>
            <w:r>
              <w:rPr>
                <w:rFonts w:ascii="Times New Roman" w:hAnsi="Times New Roman" w:eastAsia="Times New Roman"/>
                <w:sz w:val="24"/>
              </w:rPr>
            </w:r>
            <w:r>
              <w:rPr>
                <w:rFonts w:ascii="Times New Roman" w:hAnsi="Times New Roman" w:eastAsia="Times New Roman"/>
                <w:b w:val="0"/>
                <w:sz w:val="24"/>
              </w:rPr>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Table of contents</w:t>
            </w:r>
          </w:p>
        </w:tc>
        <w:tc>
          <w:tcPr>
            <w:tcW w:type="dxa" w:w="1080"/>
            <w:vAlign w:val="center"/>
            <w:tcMar>
              <w:top w:w="80" w:type="dxa"/>
              <w:start w:w="95" w:type="dxa"/>
              <w:bottom w:w="80" w:type="dxa"/>
              <w:end w:w="95" w:type="dxa"/>
            </w:tcMar>
            <w:shd w:fill="F1F5F8"/>
          </w:tcPr>
          <w:p>
            <w:r>
              <w:t>5</w:t>
            </w:r>
          </w:p>
        </w:tc>
      </w:tr>
      <w:tr>
        <w:tc>
          <w:tcPr>
            <w:tcW w:type="dxa" w:w="1584"/>
            <w:vAlign w:val="center"/>
            <w:tcMar>
              <w:top w:w="80" w:type="dxa"/>
              <w:start w:w="95" w:type="dxa"/>
              <w:bottom w:w="80" w:type="dxa"/>
              <w:end w:w="95" w:type="dxa"/>
            </w:tcMar>
          </w:tcPr>
          <w:p>
            <w:r>
              <w:t>Chapter 1</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ABSTRACT AND KEYWORDS</w:t>
            </w:r>
          </w:p>
        </w:tc>
        <w:tc>
          <w:tcPr>
            <w:tcW w:type="dxa" w:w="1080"/>
            <w:vAlign w:val="center"/>
            <w:tcMar>
              <w:top w:w="80" w:type="dxa"/>
              <w:start w:w="95" w:type="dxa"/>
              <w:bottom w:w="80" w:type="dxa"/>
              <w:end w:w="95" w:type="dxa"/>
            </w:tcMar>
          </w:tcPr>
          <w:p>
            <w:r>
              <w:t>6</w:t>
            </w:r>
          </w:p>
        </w:tc>
      </w:tr>
      <w:tr>
        <w:tc>
          <w:tcPr>
            <w:tcW w:type="dxa" w:w="1584"/>
            <w:vAlign w:val="center"/>
            <w:tcMar>
              <w:top w:w="80" w:type="dxa"/>
              <w:start w:w="95" w:type="dxa"/>
              <w:bottom w:w="80" w:type="dxa"/>
              <w:end w:w="95" w:type="dxa"/>
            </w:tcMar>
            <w:shd w:fill="F1F5F8"/>
          </w:tcPr>
          <w:p>
            <w:r>
              <w:t>Chapter 2</w:t>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INTRODUCTION</w:t>
            </w:r>
          </w:p>
        </w:tc>
        <w:tc>
          <w:tcPr>
            <w:tcW w:type="dxa" w:w="1080"/>
            <w:vAlign w:val="center"/>
            <w:tcMar>
              <w:top w:w="80" w:type="dxa"/>
              <w:start w:w="95" w:type="dxa"/>
              <w:bottom w:w="80" w:type="dxa"/>
              <w:end w:w="95" w:type="dxa"/>
            </w:tcMar>
            <w:shd w:fill="F1F5F8"/>
          </w:tcPr>
          <w:p>
            <w:r>
              <w:t>7</w:t>
            </w:r>
          </w:p>
        </w:tc>
      </w:tr>
      <w:tr>
        <w:tc>
          <w:tcPr>
            <w:tcW w:type="dxa" w:w="1584"/>
            <w:vAlign w:val="center"/>
            <w:tcMar>
              <w:top w:w="80" w:type="dxa"/>
              <w:start w:w="95" w:type="dxa"/>
              <w:bottom w:w="80" w:type="dxa"/>
              <w:end w:w="95" w:type="dxa"/>
            </w:tcMar>
          </w:tcPr>
          <w:p>
            <w:r>
              <w:t>Chapter 3</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LITERATURE REVIEW</w:t>
            </w:r>
          </w:p>
        </w:tc>
        <w:tc>
          <w:tcPr>
            <w:tcW w:type="dxa" w:w="1080"/>
            <w:vAlign w:val="center"/>
            <w:tcMar>
              <w:top w:w="80" w:type="dxa"/>
              <w:start w:w="95" w:type="dxa"/>
              <w:bottom w:w="80" w:type="dxa"/>
              <w:end w:w="95" w:type="dxa"/>
            </w:tcMar>
          </w:tcPr>
          <w:p>
            <w:r>
              <w:t>9</w:t>
            </w:r>
          </w:p>
        </w:tc>
      </w:tr>
      <w:tr>
        <w:tc>
          <w:tcPr>
            <w:tcW w:type="dxa" w:w="1584"/>
            <w:vAlign w:val="center"/>
            <w:tcMar>
              <w:top w:w="80" w:type="dxa"/>
              <w:start w:w="95" w:type="dxa"/>
              <w:bottom w:w="80" w:type="dxa"/>
              <w:end w:w="95" w:type="dxa"/>
            </w:tcMar>
            <w:shd w:fill="F1F5F8"/>
          </w:tcPr>
          <w:p>
            <w:r>
              <w:t>Chapter 4</w:t>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RESEARCH METHODOLOGY</w:t>
            </w:r>
          </w:p>
        </w:tc>
        <w:tc>
          <w:tcPr>
            <w:tcW w:type="dxa" w:w="1080"/>
            <w:vAlign w:val="center"/>
            <w:tcMar>
              <w:top w:w="80" w:type="dxa"/>
              <w:start w:w="95" w:type="dxa"/>
              <w:bottom w:w="80" w:type="dxa"/>
              <w:end w:w="95" w:type="dxa"/>
            </w:tcMar>
            <w:shd w:fill="F1F5F8"/>
          </w:tcPr>
          <w:p>
            <w:r>
              <w:t>11</w:t>
            </w:r>
          </w:p>
        </w:tc>
      </w:tr>
      <w:tr>
        <w:tc>
          <w:tcPr>
            <w:tcW w:type="dxa" w:w="1584"/>
            <w:vAlign w:val="center"/>
            <w:tcMar>
              <w:top w:w="80" w:type="dxa"/>
              <w:start w:w="95" w:type="dxa"/>
              <w:bottom w:w="80" w:type="dxa"/>
              <w:end w:w="95" w:type="dxa"/>
            </w:tcMar>
          </w:tcPr>
          <w:p>
            <w:r>
              <w:t>Chapter 5</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ANALYSIS AND PROPOSED WORK</w:t>
            </w:r>
          </w:p>
        </w:tc>
        <w:tc>
          <w:tcPr>
            <w:tcW w:type="dxa" w:w="1080"/>
            <w:vAlign w:val="center"/>
            <w:tcMar>
              <w:top w:w="80" w:type="dxa"/>
              <w:start w:w="95" w:type="dxa"/>
              <w:bottom w:w="80" w:type="dxa"/>
              <w:end w:w="95" w:type="dxa"/>
            </w:tcMar>
          </w:tcPr>
          <w:p>
            <w:r>
              <w:t>14</w:t>
            </w:r>
          </w:p>
        </w:tc>
      </w:tr>
      <w:tr>
        <w:tc>
          <w:tcPr>
            <w:tcW w:type="dxa" w:w="1584"/>
            <w:vAlign w:val="center"/>
            <w:tcMar>
              <w:top w:w="80" w:type="dxa"/>
              <w:start w:w="95" w:type="dxa"/>
              <w:bottom w:w="80" w:type="dxa"/>
              <w:end w:w="95" w:type="dxa"/>
            </w:tcMar>
            <w:shd w:fill="F1F5F8"/>
          </w:tcPr>
          <w:p>
            <w:r>
              <w:t>Chapter 6</w:t>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IMPLEMENTATION AND DEVELOPMENT</w:t>
            </w:r>
          </w:p>
        </w:tc>
        <w:tc>
          <w:tcPr>
            <w:tcW w:type="dxa" w:w="1080"/>
            <w:vAlign w:val="center"/>
            <w:tcMar>
              <w:top w:w="80" w:type="dxa"/>
              <w:start w:w="95" w:type="dxa"/>
              <w:bottom w:w="80" w:type="dxa"/>
              <w:end w:w="95" w:type="dxa"/>
            </w:tcMar>
            <w:shd w:fill="F1F5F8"/>
          </w:tcPr>
          <w:p>
            <w:r>
              <w:t>17</w:t>
            </w:r>
          </w:p>
        </w:tc>
      </w:tr>
      <w:tr>
        <w:tc>
          <w:tcPr>
            <w:tcW w:type="dxa" w:w="1584"/>
            <w:vAlign w:val="center"/>
            <w:tcMar>
              <w:top w:w="80" w:type="dxa"/>
              <w:start w:w="95" w:type="dxa"/>
              <w:bottom w:w="80" w:type="dxa"/>
              <w:end w:w="95" w:type="dxa"/>
            </w:tcMar>
          </w:tcPr>
          <w:p>
            <w:r>
              <w:t>Chapter 7</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RESULTS AND DISCUSSION</w:t>
            </w:r>
          </w:p>
        </w:tc>
        <w:tc>
          <w:tcPr>
            <w:tcW w:type="dxa" w:w="1080"/>
            <w:vAlign w:val="center"/>
            <w:tcMar>
              <w:top w:w="80" w:type="dxa"/>
              <w:start w:w="95" w:type="dxa"/>
              <w:bottom w:w="80" w:type="dxa"/>
              <w:end w:w="95" w:type="dxa"/>
            </w:tcMar>
          </w:tcPr>
          <w:p>
            <w:r>
              <w:t>20</w:t>
            </w:r>
          </w:p>
        </w:tc>
      </w:tr>
      <w:tr>
        <w:tc>
          <w:tcPr>
            <w:tcW w:type="dxa" w:w="1584"/>
            <w:vAlign w:val="center"/>
            <w:tcMar>
              <w:top w:w="80" w:type="dxa"/>
              <w:start w:w="95" w:type="dxa"/>
              <w:bottom w:w="80" w:type="dxa"/>
              <w:end w:w="95" w:type="dxa"/>
            </w:tcMar>
            <w:shd w:fill="F1F5F8"/>
          </w:tcPr>
          <w:p>
            <w:r>
              <w:t>Chapter 8</w:t>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RESEARCH PAPER</w:t>
            </w:r>
          </w:p>
        </w:tc>
        <w:tc>
          <w:tcPr>
            <w:tcW w:type="dxa" w:w="1080"/>
            <w:vAlign w:val="center"/>
            <w:tcMar>
              <w:top w:w="80" w:type="dxa"/>
              <w:start w:w="95" w:type="dxa"/>
              <w:bottom w:w="80" w:type="dxa"/>
              <w:end w:w="95" w:type="dxa"/>
            </w:tcMar>
            <w:shd w:fill="F1F5F8"/>
          </w:tcPr>
          <w:p>
            <w:r>
              <w:t>22</w:t>
            </w:r>
          </w:p>
        </w:tc>
      </w:tr>
      <w:tr>
        <w:tc>
          <w:tcPr>
            <w:tcW w:type="dxa" w:w="1584"/>
            <w:vAlign w:val="center"/>
            <w:tcMar>
              <w:top w:w="80" w:type="dxa"/>
              <w:start w:w="95" w:type="dxa"/>
              <w:bottom w:w="80" w:type="dxa"/>
              <w:end w:w="95" w:type="dxa"/>
            </w:tcMar>
          </w:tcPr>
          <w:p>
            <w:r>
              <w:t>Chapter 9</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PLAGIARISM AND SIMILARITY REPORT</w:t>
            </w:r>
          </w:p>
        </w:tc>
        <w:tc>
          <w:tcPr>
            <w:tcW w:type="dxa" w:w="1080"/>
            <w:vAlign w:val="center"/>
            <w:tcMar>
              <w:top w:w="80" w:type="dxa"/>
              <w:start w:w="95" w:type="dxa"/>
              <w:bottom w:w="80" w:type="dxa"/>
              <w:end w:w="95" w:type="dxa"/>
            </w:tcMar>
          </w:tcPr>
          <w:p>
            <w:r>
              <w:t>25</w:t>
            </w:r>
          </w:p>
        </w:tc>
      </w:tr>
      <w:tr>
        <w:tc>
          <w:tcPr>
            <w:tcW w:type="dxa" w:w="1584"/>
            <w:vAlign w:val="center"/>
            <w:tcMar>
              <w:top w:w="80" w:type="dxa"/>
              <w:start w:w="95" w:type="dxa"/>
              <w:bottom w:w="80" w:type="dxa"/>
              <w:end w:w="95" w:type="dxa"/>
            </w:tcMar>
            <w:shd w:fill="F1F5F8"/>
          </w:tcPr>
          <w:p>
            <w:r>
              <w:t>Chapter 10</w:t>
            </w:r>
          </w:p>
        </w:tc>
        <w:tc>
          <w:tcPr>
            <w:tcW w:type="dxa" w:w="669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CONCLUSION LIMITATIONS AND FUTURE SCOPE</w:t>
            </w:r>
          </w:p>
        </w:tc>
        <w:tc>
          <w:tcPr>
            <w:tcW w:type="dxa" w:w="1080"/>
            <w:vAlign w:val="center"/>
            <w:tcMar>
              <w:top w:w="80" w:type="dxa"/>
              <w:start w:w="95" w:type="dxa"/>
              <w:bottom w:w="80" w:type="dxa"/>
              <w:end w:w="95" w:type="dxa"/>
            </w:tcMar>
            <w:shd w:fill="F1F5F8"/>
          </w:tcPr>
          <w:p>
            <w:r>
              <w:t>26</w:t>
            </w:r>
          </w:p>
        </w:tc>
      </w:tr>
      <w:tr>
        <w:tc>
          <w:tcPr>
            <w:tcW w:type="dxa" w:w="1584"/>
            <w:vAlign w:val="center"/>
            <w:tcMar>
              <w:top w:w="80" w:type="dxa"/>
              <w:start w:w="95" w:type="dxa"/>
              <w:bottom w:w="80" w:type="dxa"/>
              <w:end w:w="95" w:type="dxa"/>
            </w:tcMar>
          </w:tcPr>
          <w:p>
            <w:r>
              <w:t>Chapter 11</w:t>
            </w:r>
          </w:p>
        </w:tc>
        <w:tc>
          <w:tcPr>
            <w:tcW w:type="dxa" w:w="669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REFERENCES AND BIBLIOGRAPHY</w:t>
            </w:r>
          </w:p>
        </w:tc>
        <w:tc>
          <w:tcPr>
            <w:tcW w:type="dxa" w:w="1080"/>
            <w:vAlign w:val="center"/>
            <w:tcMar>
              <w:top w:w="80" w:type="dxa"/>
              <w:start w:w="95" w:type="dxa"/>
              <w:bottom w:w="80" w:type="dxa"/>
              <w:end w:w="95" w:type="dxa"/>
            </w:tcMar>
          </w:tcPr>
          <w:p>
            <w:r>
              <w:t>28</w:t>
            </w:r>
          </w:p>
        </w:tc>
      </w:tr>
      <w:tr>
        <w:tc>
          <w:tcPr>
            <w:tcW w:type="dxa" w:w="1584"/>
            <w:vAlign w:val="center"/>
            <w:tcMar>
              <w:top w:w="80" w:type="dxa"/>
              <w:start w:w="95" w:type="dxa"/>
              <w:bottom w:w="80" w:type="dxa"/>
              <w:end w:w="95" w:type="dxa"/>
            </w:tcMar>
            <w:shd w:fill="F1F5F8"/>
          </w:tcPr>
          <w:p>
            <w:r>
              <w:t>Chapter 12</w:t>
            </w:r>
          </w:p>
        </w:tc>
        <w:tc>
          <w:tcPr>
            <w:tcW w:type="dxa" w:w="6696"/>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APPENDICES AND OPERATIONAL GUIDES</w:t>
            </w:r>
          </w:p>
        </w:tc>
        <w:tc>
          <w:tcPr>
            <w:tcW w:type="dxa" w:w="1080"/>
            <w:vAlign w:val="center"/>
            <w:tcMar>
              <w:top w:w="80" w:type="dxa"/>
              <w:start w:w="95" w:type="dxa"/>
              <w:bottom w:w="80" w:type="dxa"/>
              <w:end w:w="95" w:type="dxa"/>
            </w:tcMar>
            <w:shd w:fill="F1F5F8"/>
          </w:tcPr>
          <w:p>
            <w:r>
              <w:t>29</w:t>
            </w:r>
          </w:p>
        </w:tc>
      </w:tr>
      <w:tr>
        <w:tc>
          <w:tcPr>
            <w:tcW w:type="dxa" w:w="1584"/>
            <w:vAlign w:val="center"/>
          </w:tcPr>
          <w:p>
            <w:pPr>
              <w:spacing w:after="40" w:line="240" w:lineRule="auto"/>
            </w:pPr>
            <w:r>
              <w:rPr>
                <w:rFonts w:ascii="Times New Roman" w:hAnsi="Times New Roman" w:eastAsia="Times New Roman"/>
                <w:sz w:val="24"/>
              </w:rPr>
              <w:t>Appendix E</w:t>
            </w:r>
          </w:p>
        </w:tc>
        <w:tc>
          <w:tcPr>
            <w:tcW w:type="dxa" w:w="6696"/>
            <w:vAlign w:val="center"/>
          </w:tcPr>
          <w:p>
            <w:pPr>
              <w:spacing w:after="40" w:line="240" w:lineRule="auto"/>
            </w:pPr>
            <w:r>
              <w:rPr>
                <w:rFonts w:ascii="Times New Roman" w:hAnsi="Times New Roman" w:eastAsia="Times New Roman"/>
                <w:sz w:val="24"/>
              </w:rPr>
              <w:t>Analyst interface reference</w:t>
            </w:r>
          </w:p>
        </w:tc>
        <w:tc>
          <w:tcPr>
            <w:tcW w:type="dxa" w:w="1080"/>
            <w:vAlign w:val="center"/>
          </w:tcPr>
          <w:p>
            <w:r>
              <w:t>31</w:t>
            </w:r>
          </w:p>
        </w:tc>
      </w:tr>
      <w:tr>
        <w:tc>
          <w:tcPr>
            <w:tcW w:type="dxa" w:w="1584"/>
            <w:vAlign w:val="center"/>
          </w:tcPr>
          <w:p>
            <w:pPr>
              <w:spacing w:after="40" w:line="240" w:lineRule="auto"/>
            </w:pPr>
            <w:r>
              <w:rPr>
                <w:rFonts w:ascii="Times New Roman" w:hAnsi="Times New Roman" w:eastAsia="Times New Roman"/>
                <w:sz w:val="24"/>
              </w:rPr>
              <w:t>Appendix F</w:t>
            </w:r>
          </w:p>
        </w:tc>
        <w:tc>
          <w:tcPr>
            <w:tcW w:type="dxa" w:w="6696"/>
            <w:vAlign w:val="center"/>
          </w:tcPr>
          <w:p>
            <w:pPr>
              <w:spacing w:after="40" w:line="240" w:lineRule="auto"/>
            </w:pPr>
            <w:r>
              <w:rPr>
                <w:rFonts w:ascii="Times New Roman" w:hAnsi="Times New Roman" w:eastAsia="Times New Roman"/>
                <w:sz w:val="24"/>
              </w:rPr>
              <w:t>Local API reference</w:t>
            </w:r>
          </w:p>
        </w:tc>
        <w:tc>
          <w:tcPr>
            <w:tcW w:type="dxa" w:w="1080"/>
            <w:vAlign w:val="center"/>
          </w:tcPr>
          <w:p>
            <w:r>
              <w:t>34</w:t>
            </w:r>
          </w:p>
        </w:tc>
      </w:tr>
      <w:tr>
        <w:tc>
          <w:tcPr>
            <w:tcW w:type="dxa" w:w="1584"/>
            <w:vAlign w:val="center"/>
          </w:tcPr>
          <w:p>
            <w:pPr>
              <w:spacing w:after="40" w:line="240" w:lineRule="auto"/>
            </w:pPr>
            <w:r>
              <w:rPr>
                <w:rFonts w:ascii="Times New Roman" w:hAnsi="Times New Roman" w:eastAsia="Times New Roman"/>
                <w:sz w:val="24"/>
              </w:rPr>
              <w:t>Appendix G</w:t>
            </w:r>
          </w:p>
        </w:tc>
        <w:tc>
          <w:tcPr>
            <w:tcW w:type="dxa" w:w="6696"/>
            <w:vAlign w:val="center"/>
          </w:tcPr>
          <w:p>
            <w:pPr>
              <w:spacing w:after="40" w:line="240" w:lineRule="auto"/>
            </w:pPr>
            <w:r>
              <w:rPr>
                <w:rFonts w:ascii="Times New Roman" w:hAnsi="Times New Roman" w:eastAsia="Times New Roman"/>
                <w:sz w:val="24"/>
              </w:rPr>
              <w:t>Deployment and operator runbook</w:t>
            </w:r>
          </w:p>
        </w:tc>
        <w:tc>
          <w:tcPr>
            <w:tcW w:type="dxa" w:w="1080"/>
            <w:vAlign w:val="center"/>
          </w:tcPr>
          <w:p>
            <w:r>
              <w:t>36</w:t>
            </w:r>
          </w:p>
        </w:tc>
      </w:tr>
      <w:tr>
        <w:tc>
          <w:tcPr>
            <w:tcW w:type="dxa" w:w="1584"/>
            <w:vAlign w:val="center"/>
          </w:tcPr>
          <w:p>
            <w:pPr>
              <w:spacing w:after="40" w:line="240" w:lineRule="auto"/>
            </w:pPr>
            <w:r>
              <w:rPr>
                <w:rFonts w:ascii="Times New Roman" w:hAnsi="Times New Roman" w:eastAsia="Times New Roman"/>
                <w:sz w:val="24"/>
              </w:rPr>
              <w:t>Appendix H</w:t>
            </w:r>
          </w:p>
        </w:tc>
        <w:tc>
          <w:tcPr>
            <w:tcW w:type="dxa" w:w="6696"/>
            <w:vAlign w:val="center"/>
          </w:tcPr>
          <w:p>
            <w:pPr>
              <w:spacing w:after="40" w:line="240" w:lineRule="auto"/>
            </w:pPr>
            <w:r>
              <w:rPr>
                <w:rFonts w:ascii="Times New Roman" w:hAnsi="Times New Roman" w:eastAsia="Times New Roman"/>
                <w:sz w:val="24"/>
              </w:rPr>
              <w:t>Model and evaluation evidence register</w:t>
            </w:r>
          </w:p>
        </w:tc>
        <w:tc>
          <w:tcPr>
            <w:tcW w:type="dxa" w:w="1080"/>
            <w:vAlign w:val="center"/>
          </w:tcPr>
          <w:p>
            <w:r>
              <w:t>38</w:t>
            </w:r>
          </w:p>
        </w:tc>
      </w:tr>
      <w:tr>
        <w:tc>
          <w:tcPr>
            <w:tcW w:type="dxa" w:w="1584"/>
            <w:vAlign w:val="center"/>
          </w:tcPr>
          <w:p>
            <w:pPr>
              <w:spacing w:after="40" w:line="240" w:lineRule="auto"/>
            </w:pPr>
            <w:r>
              <w:rPr>
                <w:rFonts w:ascii="Times New Roman" w:hAnsi="Times New Roman" w:eastAsia="Times New Roman"/>
                <w:sz w:val="24"/>
              </w:rPr>
              <w:t>Appendix I</w:t>
            </w:r>
          </w:p>
        </w:tc>
        <w:tc>
          <w:tcPr>
            <w:tcW w:type="dxa" w:w="6696"/>
            <w:vAlign w:val="center"/>
          </w:tcPr>
          <w:p>
            <w:pPr>
              <w:spacing w:after="40" w:line="240" w:lineRule="auto"/>
            </w:pPr>
            <w:r>
              <w:rPr>
                <w:rFonts w:ascii="Times New Roman" w:hAnsi="Times New Roman" w:eastAsia="Times New Roman"/>
                <w:sz w:val="24"/>
              </w:rPr>
              <w:t>Reproducible evaluation protocol</w:t>
            </w:r>
          </w:p>
        </w:tc>
        <w:tc>
          <w:tcPr>
            <w:tcW w:type="dxa" w:w="1080"/>
            <w:vAlign w:val="center"/>
          </w:tcPr>
          <w:p>
            <w:r>
              <w:t>40</w:t>
            </w:r>
          </w:p>
        </w:tc>
      </w:tr>
      <w:tr>
        <w:tc>
          <w:tcPr>
            <w:tcW w:type="dxa" w:w="1584"/>
            <w:vAlign w:val="center"/>
          </w:tcPr>
          <w:p>
            <w:pPr>
              <w:spacing w:after="40" w:line="240" w:lineRule="auto"/>
            </w:pPr>
            <w:r>
              <w:rPr>
                <w:rFonts w:ascii="Times New Roman" w:hAnsi="Times New Roman" w:eastAsia="Times New Roman"/>
                <w:sz w:val="24"/>
              </w:rPr>
              <w:t>Appendix J</w:t>
            </w:r>
          </w:p>
        </w:tc>
        <w:tc>
          <w:tcPr>
            <w:tcW w:type="dxa" w:w="6696"/>
            <w:vAlign w:val="center"/>
          </w:tcPr>
          <w:p>
            <w:pPr>
              <w:spacing w:after="40" w:line="240" w:lineRule="auto"/>
            </w:pPr>
            <w:r>
              <w:rPr>
                <w:rFonts w:ascii="Times New Roman" w:hAnsi="Times New Roman" w:eastAsia="Times New Roman"/>
                <w:sz w:val="24"/>
              </w:rPr>
              <w:t>Privacy, security, and limitations</w:t>
            </w:r>
          </w:p>
        </w:tc>
        <w:tc>
          <w:tcPr>
            <w:tcW w:type="dxa" w:w="1080"/>
            <w:vAlign w:val="center"/>
          </w:tcPr>
          <w:p>
            <w:r>
              <w:t>42</w:t>
            </w:r>
          </w:p>
        </w:tc>
      </w:tr>
      <w:tr>
        <w:tc>
          <w:tcPr>
            <w:tcW w:type="dxa" w:w="1584"/>
            <w:vAlign w:val="center"/>
          </w:tcPr>
          <w:p>
            <w:pPr>
              <w:spacing w:after="40" w:line="240" w:lineRule="auto"/>
            </w:pPr>
            <w:r>
              <w:rPr>
                <w:rFonts w:ascii="Times New Roman" w:hAnsi="Times New Roman" w:eastAsia="Times New Roman"/>
                <w:sz w:val="24"/>
              </w:rPr>
              <w:t>Appendix K</w:t>
            </w:r>
          </w:p>
        </w:tc>
        <w:tc>
          <w:tcPr>
            <w:tcW w:type="dxa" w:w="6696"/>
            <w:vAlign w:val="center"/>
          </w:tcPr>
          <w:p>
            <w:pPr>
              <w:spacing w:after="40" w:line="240" w:lineRule="auto"/>
            </w:pPr>
            <w:r>
              <w:rPr>
                <w:rFonts w:ascii="Times New Roman" w:hAnsi="Times New Roman" w:eastAsia="Times New Roman"/>
                <w:sz w:val="24"/>
              </w:rPr>
              <w:t>Analyst user guide</w:t>
            </w:r>
          </w:p>
        </w:tc>
        <w:tc>
          <w:tcPr>
            <w:tcW w:type="dxa" w:w="1080"/>
            <w:vAlign w:val="center"/>
          </w:tcPr>
          <w:p>
            <w:r>
              <w:t>44</w:t>
            </w:r>
          </w:p>
        </w:tc>
      </w:tr>
      <w:tr>
        <w:tc>
          <w:tcPr>
            <w:tcW w:type="dxa" w:w="1584"/>
            <w:vAlign w:val="center"/>
          </w:tcPr>
          <w:p>
            <w:pPr>
              <w:spacing w:after="40" w:line="240" w:lineRule="auto"/>
            </w:pPr>
            <w:r>
              <w:rPr>
                <w:rFonts w:ascii="Times New Roman" w:hAnsi="Times New Roman" w:eastAsia="Times New Roman"/>
                <w:sz w:val="24"/>
              </w:rPr>
              <w:t>Appendix L</w:t>
            </w:r>
          </w:p>
        </w:tc>
        <w:tc>
          <w:tcPr>
            <w:tcW w:type="dxa" w:w="6696"/>
            <w:vAlign w:val="center"/>
          </w:tcPr>
          <w:p>
            <w:pPr>
              <w:spacing w:after="40" w:line="240" w:lineRule="auto"/>
            </w:pPr>
            <w:r>
              <w:rPr>
                <w:rFonts w:ascii="Times New Roman" w:hAnsi="Times New Roman" w:eastAsia="Times New Roman"/>
                <w:sz w:val="24"/>
              </w:rPr>
              <w:t>Maintenance and acceptance checklist</w:t>
            </w:r>
          </w:p>
        </w:tc>
        <w:tc>
          <w:tcPr>
            <w:tcW w:type="dxa" w:w="1080"/>
            <w:vAlign w:val="center"/>
          </w:tcPr>
          <w:p>
            <w:r>
              <w:t>45</w:t>
            </w:r>
          </w:p>
        </w:tc>
      </w:tr>
    </w:tbl>
    <w:p>
      <w:pPr>
        <w:keepNext/>
        <w:pageBreakBefore/>
        <w:spacing w:after="240" w:line="259" w:lineRule="auto"/>
      </w:pPr>
      <w:r>
        <w:rPr>
          <w:rFonts w:ascii="Times New Roman" w:hAnsi="Times New Roman" w:eastAsia="Times New Roman"/>
          <w:b/>
          <w:color w:val="102C43"/>
          <w:sz w:val="30"/>
        </w:rPr>
        <w:t>CHAPTER 1  ABSTRACT AND KEYWORDS</w:t>
      </w:r>
    </w:p>
    <w:p>
      <w:pPr>
        <w:pStyle w:val="Heading2"/>
      </w:pPr>
      <w:r>
        <w:t>1.1 Abstract</w:t>
      </w:r>
    </w:p>
    <w:p>
      <w:pPr>
        <w:spacing w:line="259" w:lineRule="auto" w:after="100"/>
      </w:pPr>
      <w:r>
        <w:rPr>
          <w:rFonts w:ascii="Times New Roman" w:hAnsi="Times New Roman" w:eastAsia="Times New Roman"/>
          <w:i w:val="0"/>
          <w:sz w:val="24"/>
        </w:rPr>
        <w:t>SynthGuard is a locally deployable threat-analysis prototype that examines phishing-related email text, synthetic-speech indicators, and manipulated-face video evidence through three independent model paths. A FastAPI service loads local checkpoints and returns modality scores. A late-fusion function combines available scores using equal nominal weights, with a high-confidence audio or video veto; a React and TypeScript interface supports single-modality and multimodal analysis. The browser can retain lightweight report metadata in local storage and generate a PDF locally. The project implements a DistilBERT email classifier, an MFCC-based convolutional audio classifier, and an EfficientNet-B0 video classifier preceded by MTCNN face detection. A current-checkpoint email diagnostic re-score covers 3,508 examples and an audio reconstructed split re-score covers 500; their lineage and grouping limitations prevent unqualified held-out claims. No verified video or paired fusion metrics are available. The report documents implementation and evidence status without repeating the historical 99.1% fusion figure as a result.</w:t>
      </w:r>
    </w:p>
    <w:p>
      <w:pPr>
        <w:pStyle w:val="Heading2"/>
      </w:pPr>
      <w:r>
        <w:t>1.2 Keywords</w:t>
      </w:r>
    </w:p>
    <w:p>
      <w:pPr>
        <w:spacing w:line="259" w:lineRule="auto" w:after="100"/>
      </w:pPr>
      <w:r>
        <w:rPr>
          <w:rFonts w:ascii="Times New Roman" w:hAnsi="Times New Roman" w:eastAsia="Times New Roman"/>
          <w:i w:val="0"/>
          <w:sz w:val="24"/>
        </w:rPr>
        <w:t>Phishing detection, Business Email Compromise, DistilBERT, speech spoofing, MFCC, deepfake video, EfficientNet-B0, MTCNN, late fusion, local inference, forensic reporting.</w:t>
      </w:r>
    </w:p>
    <w:p>
      <w:pPr>
        <w:keepNext/>
        <w:pageBreakBefore/>
        <w:spacing w:after="240" w:line="259" w:lineRule="auto"/>
      </w:pPr>
      <w:r>
        <w:rPr>
          <w:rFonts w:ascii="Times New Roman" w:hAnsi="Times New Roman" w:eastAsia="Times New Roman"/>
          <w:b/>
          <w:color w:val="102C43"/>
          <w:sz w:val="30"/>
        </w:rPr>
        <w:t>CHAPTER 2  INTRODUCTION</w:t>
      </w:r>
    </w:p>
    <w:p>
      <w:pPr>
        <w:pStyle w:val="Heading2"/>
      </w:pPr>
      <w:r>
        <w:t>2.1 Background and Context</w:t>
      </w:r>
    </w:p>
    <w:p>
      <w:pPr>
        <w:spacing w:line="259" w:lineRule="auto" w:after="100"/>
      </w:pPr>
      <w:r>
        <w:rPr>
          <w:rFonts w:ascii="Times New Roman" w:hAnsi="Times New Roman" w:eastAsia="Times New Roman"/>
          <w:i w:val="0"/>
          <w:sz w:val="24"/>
        </w:rPr>
        <w:t>Digital attacks increasingly combine ordinary messages with impersonation and synthetic media. A fraudulent payment request may arrive as text, be reinforced by a cloned voice message, or be accompanied by manipulated video. Each channel exposes different evidence: language models examine content, audio models examine speech features, and visual models examine facial regions. A single detector cannot directly represent all of these signals.</w:t>
      </w:r>
    </w:p>
    <w:p>
      <w:pPr>
        <w:spacing w:line="259" w:lineRule="auto" w:after="100"/>
      </w:pPr>
      <w:r>
        <w:rPr>
          <w:rFonts w:ascii="Times New Roman" w:hAnsi="Times New Roman" w:eastAsia="Times New Roman"/>
          <w:i w:val="0"/>
          <w:sz w:val="24"/>
        </w:rPr>
        <w:t>SynthGuard was developed as a student research prototype that connects separate text, audio, and video detectors to a shared analysis workflow. The application is designed to run its inference models locally behind a FastAPI service, with a React interface for submitting evidence and inspecting scores. The system aims to give an analyst a compact, explainable view of model outputs rather than to make an autonomous financial or security decision.</w:t>
      </w:r>
    </w:p>
    <w:p>
      <w:pPr>
        <w:pStyle w:val="Heading2"/>
      </w:pPr>
      <w:r>
        <w:t>2.2 Problem Statement</w:t>
      </w:r>
    </w:p>
    <w:p>
      <w:pPr>
        <w:spacing w:line="259" w:lineRule="auto" w:after="100"/>
      </w:pPr>
      <w:r>
        <w:rPr>
          <w:rFonts w:ascii="Times New Roman" w:hAnsi="Times New Roman" w:eastAsia="Times New Roman"/>
          <w:i w:val="0"/>
          <w:sz w:val="24"/>
        </w:rPr>
        <w:t>Standalone detectors produce modality-specific outputs and may fail when an attack moves across channels or when one model is uncertain. Analysts also need to understand which sensors processed successfully, how the final score was formed, and what evidence contributed to the verdict. SynthGuard addresses the integration problem by providing separate modality paths, a shared score interface, a rule-based fusion function, and a local reporting workflow. Its current evaluation evidence does not yet establish that fusion improves detection accuracy on real paired attacks.</w:t>
      </w:r>
    </w:p>
    <w:p>
      <w:pPr>
        <w:pStyle w:val="Heading2"/>
      </w:pPr>
      <w:r>
        <w:t>2.3 Aim</w:t>
      </w:r>
    </w:p>
    <w:p>
      <w:pPr>
        <w:spacing w:line="259" w:lineRule="auto" w:after="100"/>
      </w:pPr>
      <w:r>
        <w:rPr>
          <w:rFonts w:ascii="Times New Roman" w:hAnsi="Times New Roman" w:eastAsia="Times New Roman"/>
          <w:i w:val="0"/>
          <w:sz w:val="24"/>
        </w:rPr>
        <w:t>To design and implement a local multimodal analysis prototype that accepts email, audio, and video evidence, runs specialized local detectors, combines available scores through a documented late-fusion rule, and presents the output in an analyst-oriented interface.</w:t>
      </w:r>
    </w:p>
    <w:p>
      <w:pPr>
        <w:pStyle w:val="Heading2"/>
      </w:pPr>
      <w:r>
        <w:t>2.4 Objectives</w:t>
      </w:r>
    </w:p>
    <w:p>
      <w:pPr>
        <w:spacing w:after="100" w:line="259" w:lineRule="auto"/>
        <w:ind w:left="432" w:hanging="216"/>
      </w:pPr>
      <w:r>
        <w:rPr>
          <w:rFonts w:ascii="Times New Roman" w:hAnsi="Times New Roman" w:eastAsia="Times New Roman"/>
          <w:sz w:val="24"/>
        </w:rPr>
        <w:t>1. Integrate a locally loaded DistilBERT classifier for phishing-related email text.</w:t>
      </w:r>
    </w:p>
    <w:p>
      <w:pPr>
        <w:spacing w:after="100" w:line="259" w:lineRule="auto"/>
        <w:ind w:left="432" w:hanging="216"/>
      </w:pPr>
      <w:r>
        <w:rPr>
          <w:rFonts w:ascii="Times New Roman" w:hAnsi="Times New Roman" w:eastAsia="Times New Roman"/>
          <w:sz w:val="24"/>
        </w:rPr>
        <w:t>2. Implement audio spoof scoring using MFCC features and a convolutional neural network.</w:t>
      </w:r>
    </w:p>
    <w:p>
      <w:pPr>
        <w:spacing w:after="100" w:line="259" w:lineRule="auto"/>
        <w:ind w:left="432" w:hanging="216"/>
      </w:pPr>
      <w:r>
        <w:rPr>
          <w:rFonts w:ascii="Times New Roman" w:hAnsi="Times New Roman" w:eastAsia="Times New Roman"/>
          <w:sz w:val="24"/>
        </w:rPr>
        <w:t>3. Implement video face-region scoring using MTCNN and an EfficientNet-B0 classifier.</w:t>
      </w:r>
    </w:p>
    <w:p>
      <w:pPr>
        <w:spacing w:after="100" w:line="259" w:lineRule="auto"/>
        <w:ind w:left="432" w:hanging="216"/>
      </w:pPr>
      <w:r>
        <w:rPr>
          <w:rFonts w:ascii="Times New Roman" w:hAnsi="Times New Roman" w:eastAsia="Times New Roman"/>
          <w:sz w:val="24"/>
        </w:rPr>
        <w:t>4. Combine sensor scores with equal-weight dynamic fusion and a high-confidence biometric veto.</w:t>
      </w:r>
    </w:p>
    <w:p>
      <w:pPr>
        <w:spacing w:after="100" w:line="259" w:lineRule="auto"/>
        <w:ind w:left="432" w:hanging="216"/>
      </w:pPr>
      <w:r>
        <w:rPr>
          <w:rFonts w:ascii="Times New Roman" w:hAnsi="Times New Roman" w:eastAsia="Times New Roman"/>
          <w:sz w:val="24"/>
        </w:rPr>
        <w:t>5. Expose analysis and health endpoints through a local FastAPI backend.</w:t>
      </w:r>
    </w:p>
    <w:p>
      <w:pPr>
        <w:spacing w:after="100" w:line="259" w:lineRule="auto"/>
        <w:ind w:left="432" w:hanging="216"/>
      </w:pPr>
      <w:r>
        <w:rPr>
          <w:rFonts w:ascii="Times New Roman" w:hAnsi="Times New Roman" w:eastAsia="Times New Roman"/>
          <w:sz w:val="24"/>
        </w:rPr>
        <w:t>6. Provide a React interface with modality status, threat indicators, report history, and client-side PDF export.</w:t>
      </w:r>
    </w:p>
    <w:p>
      <w:pPr>
        <w:spacing w:after="100" w:line="259" w:lineRule="auto"/>
        <w:ind w:left="432" w:hanging="216"/>
      </w:pPr>
      <w:r>
        <w:rPr>
          <w:rFonts w:ascii="Times New Roman" w:hAnsi="Times New Roman" w:eastAsia="Times New Roman"/>
          <w:sz w:val="24"/>
        </w:rPr>
        <w:t>7. Document the limits of available evaluation evidence and define a reproducible paired-scenario benchmark process.</w:t>
      </w:r>
    </w:p>
    <w:p>
      <w:pPr>
        <w:pStyle w:val="Heading2"/>
      </w:pPr>
      <w:r>
        <w:t>2.5 Scope of the Study</w:t>
      </w:r>
    </w:p>
    <w:p>
      <w:pPr>
        <w:spacing w:line="259" w:lineRule="auto" w:after="100"/>
      </w:pPr>
      <w:r>
        <w:rPr>
          <w:rFonts w:ascii="Times New Roman" w:hAnsi="Times New Roman" w:eastAsia="Times New Roman"/>
          <w:i w:val="0"/>
          <w:sz w:val="24"/>
        </w:rPr>
        <w:t>The implementation scope covers three input modalities and a browser-based analyst interface. The email path accepts text. The audio path accepts supported audio files and extracts fixed-length MFCC features. The video path samples frames, detects faces, and averages up to five face-region model scores. The multimodal endpoint accepts any subset of email text, audio, and video; unavailable or failed modalities are reported in the response. The project does not include a validated enterprise mail gateway, active response, identity verification, financial transaction control, or independent human review workflow.</w:t>
      </w:r>
    </w:p>
    <w:p>
      <w:pPr>
        <w:pStyle w:val="Heading2"/>
      </w:pPr>
      <w:r>
        <w:t>2.6 Motivation and Contribution</w:t>
      </w:r>
    </w:p>
    <w:p>
      <w:pPr>
        <w:spacing w:line="259" w:lineRule="auto" w:after="100"/>
      </w:pPr>
      <w:r>
        <w:rPr>
          <w:rFonts w:ascii="Times New Roman" w:hAnsi="Times New Roman" w:eastAsia="Times New Roman"/>
          <w:i w:val="0"/>
          <w:sz w:val="24"/>
        </w:rPr>
        <w:t>The project brings a small set of independently trained detectors into one local investigation flow and makes the fusion rule visible and inspectable. Its contribution is primarily an implemented prototype and an evaluation design, not a claim of state-of-the-art accuracy. The most important research contribution still to be completed is a properly split, source-linked multimodal test set that allows all seven non-empty sensor subsets to be compared without manufacturing unrelated cross-modal pairs.</w:t>
      </w:r>
    </w:p>
    <w:p>
      <w:pPr>
        <w:keepNext/>
        <w:pageBreakBefore/>
        <w:spacing w:after="240" w:line="259" w:lineRule="auto"/>
      </w:pPr>
      <w:r>
        <w:rPr>
          <w:rFonts w:ascii="Times New Roman" w:hAnsi="Times New Roman" w:eastAsia="Times New Roman"/>
          <w:b/>
          <w:color w:val="102C43"/>
          <w:sz w:val="30"/>
        </w:rPr>
        <w:t>CHAPTER 3  LITERATURE REVIEW</w:t>
      </w:r>
    </w:p>
    <w:p>
      <w:pPr>
        <w:pStyle w:val="Heading2"/>
      </w:pPr>
      <w:r>
        <w:t>3.1 Transformer Models for Email Classification</w:t>
      </w:r>
    </w:p>
    <w:p>
      <w:pPr>
        <w:spacing w:line="259" w:lineRule="auto" w:after="100"/>
      </w:pPr>
      <w:r>
        <w:rPr>
          <w:rFonts w:ascii="Times New Roman" w:hAnsi="Times New Roman" w:eastAsia="Times New Roman"/>
          <w:i w:val="0"/>
          <w:sz w:val="24"/>
        </w:rPr>
        <w:t>DistilBERT is a compact transformer language model produced through knowledge distillation. Sanh et al. describe its design as a smaller and faster alternative to BERT for downstream language tasks [1]. SynthGuard uses a DistilBERT sequence-classification checkpoint to assign a phishing probability to email text. This choice provides contextual language representations, but a high score on a single email corpus does not demonstrate robustness to new organizations, current attack campaigns, multilingual messages, or changes in email formatting.</w:t>
      </w:r>
    </w:p>
    <w:p>
      <w:pPr>
        <w:spacing w:line="259" w:lineRule="auto" w:after="100"/>
      </w:pPr>
      <w:r>
        <w:rPr>
          <w:rFonts w:ascii="Times New Roman" w:hAnsi="Times New Roman" w:eastAsia="Times New Roman"/>
          <w:i w:val="0"/>
          <w:sz w:val="24"/>
        </w:rPr>
        <w:t>The project notebook loads the Kaggle Phishing Email dataset, removes rows with missing fields and duplicate records, maps safe email to class 0 and phishing email to class 1, and creates an 80/20 stratified split with random state 42. The notebook records 17,538 cleaned examples and a 3,508-example test subset. Corpus quality, duplicate handling, source diversity, and the distinction between phishing and broader spam remain relevant threats to external validity.</w:t>
      </w:r>
    </w:p>
    <w:p>
      <w:pPr>
        <w:pStyle w:val="Heading2"/>
      </w:pPr>
      <w:r>
        <w:t>3.2 Audio Spoof Detection and MFCC Features</w:t>
      </w:r>
    </w:p>
    <w:p>
      <w:pPr>
        <w:spacing w:line="259" w:lineRule="auto" w:after="100"/>
      </w:pPr>
      <w:r>
        <w:rPr>
          <w:rFonts w:ascii="Times New Roman" w:hAnsi="Times New Roman" w:eastAsia="Times New Roman"/>
          <w:i w:val="0"/>
          <w:sz w:val="24"/>
        </w:rPr>
        <w:t>The ASVspoof challenge series provides standardized tasks for detecting spoofed speech and synthetic speech. The 2021 challenge separates logical-access, physical-access, and deepfake tracks and specifies benchmark data and evaluation procedures [3]. SynthGuard represents audio with 40 MFCC coefficients at a 16 kHz sample rate, using a 2,048-sample analysis window and a 512-sample hop, then pads or truncates to 300 frames. MFCCs summarize short-time spectral shape and have a long history in speech processing [8]. They are a feature representation, not by themselves a guarantee of spoof generalization.</w:t>
      </w:r>
    </w:p>
    <w:p>
      <w:pPr>
        <w:pStyle w:val="Heading2"/>
      </w:pPr>
      <w:r>
        <w:t>3.3 Video Manipulation Detection</w:t>
      </w:r>
    </w:p>
    <w:p>
      <w:pPr>
        <w:spacing w:line="259" w:lineRule="auto" w:after="100"/>
      </w:pPr>
      <w:r>
        <w:rPr>
          <w:rFonts w:ascii="Times New Roman" w:hAnsi="Times New Roman" w:eastAsia="Times New Roman"/>
          <w:i w:val="0"/>
          <w:sz w:val="24"/>
        </w:rPr>
        <w:t>FaceForensics++ introduced a benchmark containing manipulated facial videos, including DeepFakes, Face2Face, FaceSwap, and NeuralTextures, with multiple compression conditions [4]. EfficientNet uses compound scaling across network dimensions to balance accuracy and computational cost [5]. MTCNN uses a cascaded convolutional approach to locate and align faces [6]. SynthGuard applies MTCNN to sampled frames and then classifies extracted face crops with EfficientNet-B0. The current inference pipeline is therefore dependent on face visibility, crop quality, compression, and the manipulation types represented in training data.</w:t>
      </w:r>
    </w:p>
    <w:p>
      <w:pPr>
        <w:pStyle w:val="Heading2"/>
      </w:pPr>
      <w:r>
        <w:t>3.4 Classifier Combination and Late Fusion</w:t>
      </w:r>
    </w:p>
    <w:p>
      <w:pPr>
        <w:spacing w:line="259" w:lineRule="auto" w:after="100"/>
      </w:pPr>
      <w:r>
        <w:rPr>
          <w:rFonts w:ascii="Times New Roman" w:hAnsi="Times New Roman" w:eastAsia="Times New Roman"/>
          <w:i w:val="0"/>
          <w:sz w:val="24"/>
        </w:rPr>
        <w:t>Classifier combination research studies how evidence from distinct representations can be combined into a final decision. Kittler et al. provide a theoretical and experimental framework for combining classifier outputs [7]. SynthGuard uses a simple normalized arithmetic mean across the sensor scores that are present and adds a hand-coded veto when audio or video probability is at least 0.85. This rule is an engineering decision that must be assessed empirically; the general literature does not validate SynthGuard’s specific weights or veto threshold.</w:t>
      </w:r>
    </w:p>
    <w:p>
      <w:pPr>
        <w:pStyle w:val="Heading2"/>
      </w:pPr>
      <w:r>
        <w:t>3.5 Research Gap</w:t>
      </w:r>
    </w:p>
    <w:p>
      <w:pPr>
        <w:spacing w:line="259" w:lineRule="auto" w:after="100"/>
      </w:pPr>
      <w:r>
        <w:rPr>
          <w:rFonts w:ascii="Times New Roman" w:hAnsi="Times New Roman" w:eastAsia="Times New Roman"/>
          <w:i w:val="0"/>
          <w:sz w:val="24"/>
        </w:rPr>
        <w:t>The project addresses an integration gap in its prototype by making text, voice, and face-based outputs available through one local workflow. A larger research gap remains: public corpora are organized by modality and often do not contain aligned email, voice, and video from one coherent social-engineering scenario. Without authentic pairing and scenario-level labels, fusion metrics can measure dataset construction choices rather than the benefit of multimodal evidence. The project benchmark documentation accordingly requires a curated manifest with independent validation and test groups.</w:t>
      </w:r>
    </w:p>
    <w:p>
      <w:pPr>
        <w:pStyle w:val="Heading2"/>
      </w:pPr>
      <w:r>
        <w:t>3.6 Literature Review Summary</w:t>
      </w:r>
    </w:p>
    <w:p>
      <w:pPr>
        <w:spacing w:line="259" w:lineRule="auto" w:after="100"/>
      </w:pPr>
      <w:r>
        <w:rPr>
          <w:rFonts w:ascii="Times New Roman" w:hAnsi="Times New Roman" w:eastAsia="Times New Roman"/>
          <w:i w:val="0"/>
          <w:sz w:val="24"/>
        </w:rPr>
        <w:t>The model and dataset literature supports the selection of a transformer text sensor, an MFCC-based speech sensor, a face-crop video sensor, and a score-combination layer. It does not support transferring benchmark results from those source works to SynthGuard. Model metrics must be produced from the specific saved checkpoints and evaluation data used by this project.</w:t>
      </w:r>
    </w:p>
    <w:p>
      <w:pPr>
        <w:keepNext/>
        <w:pageBreakBefore/>
        <w:spacing w:after="240" w:line="259" w:lineRule="auto"/>
      </w:pPr>
      <w:r>
        <w:rPr>
          <w:rFonts w:ascii="Times New Roman" w:hAnsi="Times New Roman" w:eastAsia="Times New Roman"/>
          <w:b/>
          <w:color w:val="102C43"/>
          <w:sz w:val="30"/>
        </w:rPr>
        <w:t>CHAPTER 4  RESEARCH METHODOLOGY</w:t>
      </w:r>
    </w:p>
    <w:p>
      <w:pPr>
        <w:pStyle w:val="Heading2"/>
      </w:pPr>
      <w:r>
        <w:t>4.1 Research Approach</w:t>
      </w:r>
    </w:p>
    <w:p>
      <w:pPr>
        <w:spacing w:line="259" w:lineRule="auto" w:after="100"/>
      </w:pPr>
      <w:r>
        <w:rPr>
          <w:rFonts w:ascii="Times New Roman" w:hAnsi="Times New Roman" w:eastAsia="Times New Roman"/>
          <w:i w:val="0"/>
          <w:sz w:val="24"/>
        </w:rPr>
        <w:t>This work follows a design-and-implementation approach. The three sensors are treated as independent predictors; the API standardizes their outputs; and a deterministic fusion function combines the available probabilities. The report distinguishes implementation verification from model-performance evaluation. API operation and score routing can be checked with functional tests, while accuracy requires labeled examples that were not used for training or threshold selection.</w:t>
      </w:r>
    </w:p>
    <w:p>
      <w:pPr>
        <w:pStyle w:val="Heading2"/>
      </w:pPr>
      <w:r>
        <w:t>4.2 Data Sources and Sample Definition</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152"/>
        <w:gridCol w:w="2952"/>
        <w:gridCol w:w="2016"/>
        <w:gridCol w:w="2880"/>
      </w:tblGrid>
      <w:tr>
        <w:trPr>
          <w:tblHeader w:val="true"/>
        </w:trPr>
        <w:tc>
          <w:tcPr>
            <w:tcW w:type="dxa" w:w="2329"/>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Modality</w:t>
            </w:r>
          </w:p>
        </w:tc>
        <w:tc>
          <w:tcPr>
            <w:tcW w:type="dxa" w:w="2329"/>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Project data source</w:t>
            </w:r>
          </w:p>
        </w:tc>
        <w:tc>
          <w:tcPr>
            <w:tcW w:type="dxa" w:w="2329"/>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Label meaning</w:t>
            </w:r>
          </w:p>
        </w:tc>
        <w:tc>
          <w:tcPr>
            <w:tcW w:type="dxa" w:w="2329"/>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Evidence currently available</w:t>
            </w:r>
          </w:p>
        </w:tc>
      </w:tr>
      <w:tr>
        <w:tc>
          <w:tcPr>
            <w:tcW w:type="dxa" w:w="1152"/>
            <w:vAlign w:val="center"/>
            <w:tcMar>
              <w:top w:w="80" w:type="dxa"/>
              <w:start w:w="95" w:type="dxa"/>
              <w:bottom w:w="80" w:type="dxa"/>
              <w:end w:w="95" w:type="dxa"/>
            </w:tcMar>
          </w:tcPr>
          <w:p>
            <w:pPr>
              <w:spacing w:after="40" w:line="240" w:lineRule="auto"/>
            </w:pPr>
            <w:r>
              <w:rPr>
                <w:rFonts w:ascii="Times New Roman" w:hAnsi="Times New Roman" w:eastAsia="Times New Roman"/>
                <w:sz w:val="24"/>
              </w:rPr>
              <w:t>Email</w:t>
            </w:r>
          </w:p>
        </w:tc>
        <w:tc>
          <w:tcPr>
            <w:tcW w:type="dxa" w:w="2952"/>
            <w:vAlign w:val="center"/>
            <w:tcMar>
              <w:top w:w="80" w:type="dxa"/>
              <w:start w:w="95" w:type="dxa"/>
              <w:bottom w:w="80" w:type="dxa"/>
              <w:end w:w="95" w:type="dxa"/>
            </w:tcMar>
          </w:tcPr>
          <w:p>
            <w:pPr>
              <w:spacing w:after="40" w:line="240" w:lineRule="auto"/>
            </w:pPr>
            <w:r>
              <w:rPr>
                <w:rFonts w:ascii="Times New Roman" w:hAnsi="Times New Roman" w:eastAsia="Times New Roman"/>
                <w:sz w:val="24"/>
              </w:rPr>
              <w:t>Kaggle Phishing Email dataset; local notebook records 17,538 examples after cleaning [2]</w:t>
            </w:r>
          </w:p>
        </w:tc>
        <w:tc>
          <w:tcPr>
            <w:tcW w:type="dxa" w:w="2016"/>
            <w:vAlign w:val="center"/>
            <w:tcMar>
              <w:top w:w="80" w:type="dxa"/>
              <w:start w:w="95" w:type="dxa"/>
              <w:bottom w:w="80" w:type="dxa"/>
              <w:end w:w="95" w:type="dxa"/>
            </w:tcMar>
          </w:tcPr>
          <w:p>
            <w:pPr>
              <w:spacing w:after="40" w:line="240" w:lineRule="auto"/>
            </w:pPr>
            <w:r>
              <w:rPr>
                <w:rFonts w:ascii="Times New Roman" w:hAnsi="Times New Roman" w:eastAsia="Times New Roman"/>
                <w:sz w:val="24"/>
              </w:rPr>
              <w:t>Safe / phishing</w:t>
            </w:r>
          </w:p>
        </w:tc>
        <w:tc>
          <w:tcPr>
            <w:tcW w:type="dxa" w:w="2880"/>
            <w:vAlign w:val="center"/>
            <w:tcMar>
              <w:top w:w="80" w:type="dxa"/>
              <w:start w:w="95" w:type="dxa"/>
              <w:bottom w:w="80" w:type="dxa"/>
              <w:end w:w="95" w:type="dxa"/>
            </w:tcMar>
          </w:tcPr>
          <w:p>
            <w:pPr>
              <w:spacing w:after="40" w:line="240" w:lineRule="auto"/>
            </w:pPr>
            <w:r>
              <w:rPr>
                <w:rFonts w:ascii="Times New Roman" w:hAnsi="Times New Roman" w:eastAsia="Times New Roman"/>
                <w:sz w:val="24"/>
              </w:rPr>
              <w:t>Current-checkpoint re-score and per-example CSV exist; checkpoint training provenance remains unverified.</w:t>
            </w:r>
          </w:p>
        </w:tc>
      </w:tr>
      <w:tr>
        <w:tc>
          <w:tcPr>
            <w:tcW w:type="dxa" w:w="1152"/>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Audio</w:t>
            </w:r>
          </w:p>
        </w:tc>
        <w:tc>
          <w:tcPr>
            <w:tcW w:type="dxa" w:w="2952"/>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ASVspoof 2021 logical-access data and exported feature shards [3]</w:t>
            </w:r>
          </w:p>
        </w:tc>
        <w:tc>
          <w:tcPr>
            <w:tcW w:type="dxa" w:w="2016"/>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Genuine / spoof</w:t>
            </w:r>
          </w:p>
        </w:tc>
        <w:tc>
          <w:tcPr>
            <w:tcW w:type="dxa" w:w="2880"/>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Reconstructed 500-row diagnostic re-score and per-row CSV exist; source groups and exact checkpoint lineage are unresolved.</w:t>
            </w:r>
          </w:p>
        </w:tc>
      </w:tr>
      <w:tr>
        <w:tc>
          <w:tcPr>
            <w:tcW w:type="dxa" w:w="1152"/>
            <w:vAlign w:val="center"/>
            <w:tcMar>
              <w:top w:w="80" w:type="dxa"/>
              <w:start w:w="95" w:type="dxa"/>
              <w:bottom w:w="80" w:type="dxa"/>
              <w:end w:w="95" w:type="dxa"/>
            </w:tcMar>
          </w:tcPr>
          <w:p>
            <w:pPr>
              <w:spacing w:after="40" w:line="240" w:lineRule="auto"/>
            </w:pPr>
            <w:r>
              <w:rPr>
                <w:rFonts w:ascii="Times New Roman" w:hAnsi="Times New Roman" w:eastAsia="Times New Roman"/>
                <w:sz w:val="24"/>
              </w:rPr>
              <w:t>Video</w:t>
            </w:r>
          </w:p>
        </w:tc>
        <w:tc>
          <w:tcPr>
            <w:tcW w:type="dxa" w:w="2952"/>
            <w:vAlign w:val="center"/>
            <w:tcMar>
              <w:top w:w="80" w:type="dxa"/>
              <w:start w:w="95" w:type="dxa"/>
              <w:bottom w:w="80" w:type="dxa"/>
              <w:end w:w="95" w:type="dxa"/>
            </w:tcMar>
          </w:tcPr>
          <w:p>
            <w:pPr>
              <w:spacing w:after="40" w:line="240" w:lineRule="auto"/>
            </w:pPr>
            <w:r>
              <w:rPr>
                <w:rFonts w:ascii="Times New Roman" w:hAnsi="Times New Roman" w:eastAsia="Times New Roman"/>
                <w:sz w:val="24"/>
              </w:rPr>
              <w:t>FaceForensics++ manipulated and original sequences [4]</w:t>
            </w:r>
          </w:p>
        </w:tc>
        <w:tc>
          <w:tcPr>
            <w:tcW w:type="dxa" w:w="2016"/>
            <w:vAlign w:val="center"/>
            <w:tcMar>
              <w:top w:w="80" w:type="dxa"/>
              <w:start w:w="95" w:type="dxa"/>
              <w:bottom w:w="80" w:type="dxa"/>
              <w:end w:w="95" w:type="dxa"/>
            </w:tcMar>
          </w:tcPr>
          <w:p>
            <w:pPr>
              <w:spacing w:after="40" w:line="240" w:lineRule="auto"/>
            </w:pPr>
            <w:r>
              <w:rPr>
                <w:rFonts w:ascii="Times New Roman" w:hAnsi="Times New Roman" w:eastAsia="Times New Roman"/>
                <w:sz w:val="24"/>
              </w:rPr>
              <w:t>Original / manipulated</w:t>
            </w:r>
          </w:p>
        </w:tc>
        <w:tc>
          <w:tcPr>
            <w:tcW w:type="dxa" w:w="2880"/>
            <w:vAlign w:val="center"/>
            <w:tcMar>
              <w:top w:w="80" w:type="dxa"/>
              <w:start w:w="95" w:type="dxa"/>
              <w:bottom w:w="80" w:type="dxa"/>
              <w:end w:w="95" w:type="dxa"/>
            </w:tcMar>
          </w:tcPr>
          <w:p>
            <w:pPr>
              <w:spacing w:after="40" w:line="240" w:lineRule="auto"/>
            </w:pPr>
            <w:r>
              <w:rPr>
                <w:rFonts w:ascii="Times New Roman" w:hAnsi="Times New Roman" w:eastAsia="Times New Roman"/>
                <w:sz w:val="24"/>
              </w:rPr>
              <w:t>Active checkpoint and inference code exist; source-disjoint held-out metrics and a verified calibration record are absent.</w:t>
            </w:r>
          </w:p>
        </w:tc>
      </w:tr>
      <w:tr>
        <w:tc>
          <w:tcPr>
            <w:tcW w:type="dxa" w:w="1152"/>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Fusion</w:t>
            </w:r>
          </w:p>
        </w:tc>
        <w:tc>
          <w:tcPr>
            <w:tcW w:type="dxa" w:w="2952"/>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Curated scenario manifest specified in project docs</w:t>
            </w:r>
          </w:p>
        </w:tc>
        <w:tc>
          <w:tcPr>
            <w:tcW w:type="dxa" w:w="2016"/>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Scenario-level benign / threat</w:t>
            </w:r>
          </w:p>
        </w:tc>
        <w:tc>
          <w:tcPr>
            <w:tcW w:type="dxa" w:w="2880"/>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Benchmark runner and manifest contract exist; no authentic paired scenario result bundle is present.</w:t>
            </w:r>
          </w:p>
        </w:tc>
      </w:tr>
    </w:tbl>
    <w:p>
      <w:pPr>
        <w:spacing w:after="100" w:line="259" w:lineRule="auto"/>
      </w:pPr>
    </w:p>
    <w:p>
      <w:pPr>
        <w:spacing w:line="259" w:lineRule="auto" w:after="100"/>
      </w:pPr>
      <w:r>
        <w:rPr>
          <w:rFonts w:ascii="Times New Roman" w:hAnsi="Times New Roman" w:eastAsia="Times New Roman"/>
          <w:i w:val="0"/>
          <w:sz w:val="24"/>
        </w:rPr>
        <w:t>A scenario-level multimodal sample should contain one investigation story with explicitly paired media, sensor-specific labels, an overall scenario label, and a group identifier for the campaign, actor, or source recording. The scenario label must be written independently of model scores. A benign scenario can contain a spoofed modality, and a threat scenario can contain genuine supporting media. The report does not treat independently sourced audio and video examples as if they belonged to the same event.</w:t>
      </w:r>
    </w:p>
    <w:p>
      <w:pPr>
        <w:pStyle w:val="Heading2"/>
      </w:pPr>
      <w:r>
        <w:t>4.3 Data Preparation</w:t>
      </w:r>
    </w:p>
    <w:p>
      <w:pPr>
        <w:spacing w:line="259" w:lineRule="auto" w:after="100"/>
      </w:pPr>
      <w:r>
        <w:rPr>
          <w:rFonts w:ascii="Times New Roman" w:hAnsi="Times New Roman" w:eastAsia="Times New Roman"/>
          <w:i w:val="0"/>
          <w:sz w:val="24"/>
        </w:rPr>
        <w:t>Email text is tokenized with the local DistilBERT tokenizer, truncation enabled, a maximum length of 256 tokens, and fixed-length padding. Audio is loaded at 16 kHz, transformed to MFCCs, and normalized in shape by zero padding or truncation to 300 frames. Video is sampled from the uploaded clip at fixed frame intervals; MTCNN detections above 0.90 confidence are cropped, resized to 224 by 224, and normalized with ImageNet channel statistics before model inference. These steps are implemented in the backend and associated notebooks [P1, P2].</w:t>
      </w:r>
    </w:p>
    <w:p>
      <w:pPr>
        <w:pStyle w:val="Heading2"/>
      </w:pPr>
      <w:r>
        <w:t>4.4 Evaluation Design</w:t>
      </w:r>
    </w:p>
    <w:p>
      <w:pPr>
        <w:keepLines/>
        <w:spacing w:before="100" w:after="0"/>
        <w:jc w:val="center"/>
      </w:pPr>
      <w:r>
        <w:drawing>
          <wp:inline xmlns:a="http://schemas.openxmlformats.org/drawingml/2006/main" xmlns:pic="http://schemas.openxmlformats.org/drawingml/2006/picture">
            <wp:extent cx="6080760" cy="2871470"/>
            <wp:docPr id="7" name="Picture 7"/>
            <wp:cNvGraphicFramePr>
              <a:graphicFrameLocks noChangeAspect="1"/>
            </wp:cNvGraphicFramePr>
            <a:graphic>
              <a:graphicData uri="http://schemas.openxmlformats.org/drawingml/2006/picture">
                <pic:pic>
                  <pic:nvPicPr>
                    <pic:cNvPr id="0" name="evaluation_evidence.png"/>
                    <pic:cNvPicPr/>
                  </pic:nvPicPr>
                  <pic:blipFill>
                    <a:blip r:embed="rId16"/>
                    <a:stretch>
                      <a:fillRect/>
                    </a:stretch>
                  </pic:blipFill>
                  <pic:spPr>
                    <a:xfrm>
                      <a:off x="0" y="0"/>
                      <a:ext cx="6080760" cy="2871470"/>
                    </a:xfrm>
                    <a:prstGeom prst="rect"/>
                  </pic:spPr>
                </pic:pic>
              </a:graphicData>
            </a:graphic>
          </wp:inline>
        </w:drawing>
      </w:r>
    </w:p>
    <w:p>
      <w:pPr>
        <w:pStyle w:val="Caption"/>
        <w:jc w:val="center"/>
      </w:pPr>
      <w:r>
        <w:t>Figure 4.1. Evaluation evidence gates distinguish diagnostic re-scores from benchmark estimates.</w:t>
      </w:r>
    </w:p>
    <w:p>
      <w:pPr>
        <w:spacing w:line="259" w:lineRule="auto" w:after="100"/>
      </w:pPr>
      <w:r>
        <w:rPr>
          <w:rFonts w:ascii="Times New Roman" w:hAnsi="Times New Roman" w:eastAsia="Times New Roman"/>
          <w:i w:val="0"/>
          <w:sz w:val="24"/>
        </w:rPr>
        <w:t>A current-checkpoint email re-score is recorded in outputs/reports/email_test_metrics.json and outputs/reports/email_test_predictions.csv. It covers 3,508 rows from the saved test dataset and uses the active email checkpoint, but the checkpoint’s training and model-selection lineage is not established. One input exceeds the API character limit and is clipped; an unclipped diagnostic on the other 3,507 rows is also recorded. The audio artifact outputs/reports/audio_reconstructed_test_metrics.json is a local re-score of a reconstructed random 500-row holdout from the supplied feature ordering; it has no speaker/session identifiers, and its exact checkpoint identity relative to the supplied Colab training run is unverified. No source-disjoint video test output was found. These artifacts support reproducible diagnostics with stated scope, not unqualified claims of held-out generalization.</w:t>
      </w:r>
    </w:p>
    <w:p>
      <w:pPr>
        <w:spacing w:line="259" w:lineRule="auto" w:after="100"/>
      </w:pPr>
      <w:r>
        <w:rPr>
          <w:rFonts w:ascii="Times New Roman" w:hAnsi="Times New Roman" w:eastAsia="Times New Roman"/>
          <w:i w:val="0"/>
          <w:sz w:val="24"/>
        </w:rPr>
        <w:t>For future multimodal evaluation, the benchmark script requires separate validation and test splits. It selects video calibration and decision thresholds on validation rows only, computes metrics on test rows, records per-scenario predictions and sensor status, and emits run metadata and model hashes. Group identifiers are intended to prevent related source material from crossing the validation/test boundary. Coverage must be reported because each sensor subset may be evaluated on a different subset of cases [P3].</w:t>
      </w:r>
    </w:p>
    <w:p>
      <w:pPr>
        <w:pStyle w:val="Heading2"/>
      </w:pPr>
      <w:r>
        <w:t>4.5 Metrics</w:t>
      </w:r>
    </w:p>
    <w:p>
      <w:pPr>
        <w:spacing w:line="259" w:lineRule="auto" w:after="100"/>
      </w:pPr>
      <w:r>
        <w:rPr>
          <w:rFonts w:ascii="Times New Roman" w:hAnsi="Times New Roman" w:eastAsia="Times New Roman"/>
          <w:i w:val="0"/>
          <w:sz w:val="24"/>
        </w:rPr>
        <w:t>For a binary threat classifier, true positives (TP) are threat cases classified as threat, true negatives (TN) are benign cases classified as benign, false positives (FP) are benign cases classified as threat, and false negatives (FN) are threat cases classified as benign. The report uses the following definitions:</w:t>
      </w:r>
    </w:p>
    <w:p>
      <w:pPr>
        <w:spacing w:line="259" w:lineRule="auto" w:after="100"/>
        <w:jc w:val="center"/>
      </w:pPr>
      <w:r>
        <w:rPr>
          <w:rFonts w:ascii="Times New Roman" w:hAnsi="Times New Roman" w:eastAsia="Times New Roman"/>
          <w:b/>
          <w:sz w:val="24"/>
        </w:rPr>
        <w:t>Accuracy = (TP + TN) / (TP + TN + FP + FN)</w:t>
      </w:r>
    </w:p>
    <w:p>
      <w:pPr>
        <w:spacing w:line="259" w:lineRule="auto" w:after="100"/>
        <w:jc w:val="center"/>
      </w:pPr>
      <w:r>
        <w:rPr>
          <w:rFonts w:ascii="Times New Roman" w:hAnsi="Times New Roman" w:eastAsia="Times New Roman"/>
          <w:b/>
          <w:sz w:val="24"/>
        </w:rPr>
        <w:t>False positive rate (FPR) = FP / (FP + TN)</w:t>
      </w:r>
    </w:p>
    <w:p>
      <w:pPr>
        <w:spacing w:line="259" w:lineRule="auto" w:after="100"/>
        <w:jc w:val="center"/>
      </w:pPr>
      <w:r>
        <w:rPr>
          <w:rFonts w:ascii="Times New Roman" w:hAnsi="Times New Roman" w:eastAsia="Times New Roman"/>
          <w:b/>
          <w:sz w:val="24"/>
        </w:rPr>
        <w:t>False negative rate (FNR) = FN / (FN + TP)</w:t>
      </w:r>
    </w:p>
    <w:p>
      <w:pPr>
        <w:spacing w:line="259" w:lineRule="auto" w:after="100"/>
        <w:jc w:val="center"/>
      </w:pPr>
      <w:r>
        <w:rPr>
          <w:rFonts w:ascii="Times New Roman" w:hAnsi="Times New Roman" w:eastAsia="Times New Roman"/>
          <w:b/>
          <w:sz w:val="24"/>
        </w:rPr>
        <w:t>Precision = TP / (TP + FP); Recall = TP / (TP + FN)</w:t>
      </w:r>
    </w:p>
    <w:p>
      <w:pPr>
        <w:spacing w:line="259" w:lineRule="auto" w:after="100"/>
      </w:pPr>
      <w:r>
        <w:rPr>
          <w:rFonts w:ascii="Times New Roman" w:hAnsi="Times New Roman" w:eastAsia="Times New Roman"/>
          <w:i w:val="0"/>
          <w:sz w:val="24"/>
        </w:rPr>
        <w:t>For model comparison, confidence intervals should accompany point estimates, and test denominators should be reported separately for benign and threat classes. In a small or constructed scenario set, percentages should not be presented with precision that exceeds the sample size.</w:t>
      </w:r>
    </w:p>
    <w:p>
      <w:pPr>
        <w:pStyle w:val="Heading2"/>
      </w:pPr>
      <w:r>
        <w:t>4.6 Tools and Techniques</w:t>
      </w:r>
    </w:p>
    <w:p>
      <w:pPr>
        <w:spacing w:line="259" w:lineRule="auto" w:after="100"/>
      </w:pPr>
      <w:r>
        <w:rPr>
          <w:rFonts w:ascii="Times New Roman" w:hAnsi="Times New Roman" w:eastAsia="Times New Roman"/>
          <w:i w:val="0"/>
          <w:sz w:val="24"/>
        </w:rPr>
        <w:t>The project uses Python, PyTorch, Hugging Face Transformers, librosa, OpenCV, MTCNN, FastAPI, React, TypeScript, Vite, jsPDF, and Docker Compose. The backend loads models from local project directories and uses an Nginx-served frontend in the containerized configuration. Model inference can operate from local checkpoints after dependencies are installed; the deployment is local and offline-capable, but this wording does not claim a physically air-gapped host.</w:t>
      </w:r>
    </w:p>
    <w:p>
      <w:pPr>
        <w:keepNext/>
        <w:pageBreakBefore/>
        <w:spacing w:after="240" w:line="259" w:lineRule="auto"/>
      </w:pPr>
      <w:r>
        <w:rPr>
          <w:rFonts w:ascii="Times New Roman" w:hAnsi="Times New Roman" w:eastAsia="Times New Roman"/>
          <w:b/>
          <w:color w:val="102C43"/>
          <w:sz w:val="30"/>
        </w:rPr>
        <w:t>CHAPTER 5  ANALYSIS AND PROPOSED WORK</w:t>
      </w:r>
    </w:p>
    <w:p>
      <w:pPr>
        <w:pStyle w:val="Heading2"/>
      </w:pPr>
      <w:r>
        <w:t>5.1 Existing Workflow</w:t>
      </w:r>
    </w:p>
    <w:p>
      <w:pPr>
        <w:spacing w:line="259" w:lineRule="auto" w:after="100"/>
      </w:pPr>
      <w:r>
        <w:rPr>
          <w:rFonts w:ascii="Times New Roman" w:hAnsi="Times New Roman" w:eastAsia="Times New Roman"/>
          <w:i w:val="0"/>
          <w:sz w:val="24"/>
        </w:rPr>
        <w:t>A user supplies one or more evidence types through the analyst interface. The frontend sends email text or media files to FastAPI. Each successful sensor returns a probability-like score and a modality status. The multimodal endpoint passes available scores to the fusion function, classifies the result at a 0.50 boundary, and returns indicators and a summary. The browser can save report metadata in localStorage and construct a client-side PDF. The architecture keeps inference and report generation within the local application workflow.</w:t>
      </w:r>
    </w:p>
    <w:p>
      <w:pPr>
        <w:pStyle w:val="Heading2"/>
      </w:pPr>
      <w:r>
        <w:t>5.2 Proposed System Architecture</w:t>
      </w:r>
    </w:p>
    <w:p>
      <w:pPr>
        <w:spacing w:line="259" w:lineRule="auto" w:after="100"/>
      </w:pPr>
      <w:r>
        <w:rPr>
          <w:rFonts w:ascii="Times New Roman" w:hAnsi="Times New Roman" w:eastAsia="Times New Roman"/>
          <w:sz w:val="24"/>
        </w:rP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synthguard_architecture.png"/>
                    <pic:cNvPicPr/>
                  </pic:nvPicPr>
                  <pic:blipFill>
                    <a:blip r:embed="rId10"/>
                    <a:stretch>
                      <a:fillRect/>
                    </a:stretch>
                  </pic:blipFill>
                  <pic:spPr>
                    <a:xfrm>
                      <a:off x="0" y="0"/>
                      <a:ext cx="5806440" cy="3266122"/>
                    </a:xfrm>
                    <a:prstGeom prst="rect"/>
                  </pic:spPr>
                </pic:pic>
              </a:graphicData>
            </a:graphic>
          </wp:inline>
        </w:drawing>
      </w:r>
    </w:p>
    <w:p>
      <w:pPr>
        <w:spacing w:before="80" w:after="160" w:line="259" w:lineRule="auto"/>
        <w:jc w:val="center"/>
      </w:pPr>
      <w:r>
        <w:t>Figure 5.1. SynthGuard local analysis and reporting flow.</w:t>
      </w:r>
    </w:p>
    <w:p>
      <w:pPr>
        <w:pStyle w:val="Heading2"/>
      </w:pPr>
      <w:r>
        <w:t>5.3 Sensor Modules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1080"/>
        <w:gridCol w:w="2232"/>
        <w:gridCol w:w="3744"/>
        <w:gridCol w:w="1944"/>
      </w:tblGrid>
      <w:tr>
        <w:trPr>
          <w:tblHeader w:val="true"/>
        </w:trPr>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Sensor</w:t>
            </w:r>
          </w:p>
        </w:tc>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Model path</w:t>
            </w:r>
          </w:p>
        </w:tc>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Input and processing</w:t>
            </w:r>
          </w:p>
        </w:tc>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Output</w:t>
            </w:r>
          </w:p>
        </w:tc>
      </w:tr>
      <w:tr>
        <w:tc>
          <w:tcPr>
            <w:tcW w:type="dxa" w:w="108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w:t>
            </w:r>
          </w:p>
        </w:tc>
        <w:tc>
          <w:tcPr>
            <w:tcW w:type="dxa" w:w="223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Fine-tuned DistilBERT sequence classifier</w:t>
            </w:r>
          </w:p>
        </w:tc>
        <w:tc>
          <w:tcPr>
            <w:tcW w:type="dxa" w:w="37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Text tokenization; max length 256</w:t>
            </w:r>
          </w:p>
        </w:tc>
        <w:tc>
          <w:tcPr>
            <w:tcW w:type="dxa" w:w="19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Phishing probability; indicator threshold 0.50</w:t>
            </w:r>
          </w:p>
        </w:tc>
      </w:tr>
      <w:tr>
        <w:tc>
          <w:tcPr>
            <w:tcW w:type="dxa" w:w="108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Audio</w:t>
            </w:r>
          </w:p>
        </w:tc>
        <w:tc>
          <w:tcPr>
            <w:tcW w:type="dxa" w:w="223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Three-block CNN over MFCCs</w:t>
            </w:r>
          </w:p>
        </w:tc>
        <w:tc>
          <w:tcPr>
            <w:tcW w:type="dxa" w:w="374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16 kHz audio; 40 coefficients; 300 frames</w:t>
            </w:r>
          </w:p>
        </w:tc>
        <w:tc>
          <w:tcPr>
            <w:tcW w:type="dxa" w:w="194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Spoof probability; indicator threshold 0.45</w:t>
            </w:r>
          </w:p>
        </w:tc>
      </w:tr>
      <w:tr>
        <w:tc>
          <w:tcPr>
            <w:tcW w:type="dxa" w:w="108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Video</w:t>
            </w:r>
          </w:p>
        </w:tc>
        <w:tc>
          <w:tcPr>
            <w:tcW w:type="dxa" w:w="223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MTCNN face detector + EfficientNet-B0</w:t>
            </w:r>
          </w:p>
        </w:tc>
        <w:tc>
          <w:tcPr>
            <w:tcW w:type="dxa" w:w="37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Sample frames; crop face; resize to 224×224; average up to five scores</w:t>
            </w:r>
          </w:p>
        </w:tc>
        <w:tc>
          <w:tcPr>
            <w:tcW w:type="dxa" w:w="19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Calibrated manipulation probability; decision boundary 0.50</w:t>
            </w:r>
          </w:p>
        </w:tc>
      </w:tr>
    </w:tbl>
    <w:p>
      <w:pPr>
        <w:spacing w:after="100" w:line="259" w:lineRule="auto"/>
      </w:pPr>
    </w:p>
    <w:p>
      <w:pPr>
        <w:pStyle w:val="Heading2"/>
      </w:pPr>
      <w:r>
        <w:t>5.4 Fusion Rule</w:t>
      </w:r>
    </w:p>
    <w:p>
      <w:pPr>
        <w:spacing w:line="259" w:lineRule="auto" w:after="100"/>
      </w:pPr>
      <w:r>
        <w:rPr>
          <w:rFonts w:ascii="Times New Roman" w:hAnsi="Times New Roman" w:eastAsia="Times New Roman"/>
          <w:i w:val="0"/>
          <w:sz w:val="24"/>
        </w:rPr>
        <w:t>Let E, A, and V denote the email, audio, and video scores that were successfully computed. The implementation assigns nominal weights of 0.3333 to each available sensor and renormalizes by the sum of the available weights. If no modality is available, fusion returns no score. The fused score is classified as a threat when it is at least 0.50.</w:t>
      </w:r>
    </w:p>
    <w:p>
      <w:pPr>
        <w:spacing w:line="259" w:lineRule="auto" w:after="100"/>
        <w:jc w:val="center"/>
      </w:pPr>
      <w:r>
        <w:rPr>
          <w:rFonts w:ascii="Times New Roman" w:hAnsi="Times New Roman" w:eastAsia="Times New Roman"/>
          <w:b/>
          <w:sz w:val="24"/>
        </w:rPr>
        <w:t>S_fusion = Σ(w_i S_i) / Σ(w_i), for available sensors i, unless the biometric veto fires</w:t>
      </w:r>
    </w:p>
    <w:p>
      <w:pPr>
        <w:spacing w:line="259" w:lineRule="auto" w:after="100"/>
      </w:pPr>
      <w:r>
        <w:rPr>
          <w:rFonts w:ascii="Times New Roman" w:hAnsi="Times New Roman" w:eastAsia="Times New Roman"/>
          <w:i w:val="0"/>
          <w:sz w:val="24"/>
        </w:rPr>
        <w:t>The veto fires when an available audio or video score is at least 0.85. The implementation then returns the highest available sensor score. Therefore, it raises the unified score to the strongest sensor value; it produces exactly 1.00 only when that strongest input is itself 1.00. The veto threshold is a software rule, not a demonstrated false-negative reduction until it is evaluated on independent labeled data [P2].</w:t>
      </w:r>
    </w:p>
    <w:p>
      <w:pPr>
        <w:keepLines/>
        <w:spacing w:before="100" w:after="0"/>
        <w:jc w:val="center"/>
      </w:pPr>
      <w:r>
        <w:drawing>
          <wp:inline xmlns:a="http://schemas.openxmlformats.org/drawingml/2006/main" xmlns:pic="http://schemas.openxmlformats.org/drawingml/2006/picture">
            <wp:extent cx="6080760" cy="2871470"/>
            <wp:docPr id="8" name="Picture 8"/>
            <wp:cNvGraphicFramePr>
              <a:graphicFrameLocks noChangeAspect="1"/>
            </wp:cNvGraphicFramePr>
            <a:graphic>
              <a:graphicData uri="http://schemas.openxmlformats.org/drawingml/2006/picture">
                <pic:pic>
                  <pic:nvPicPr>
                    <pic:cNvPr id="0" name="fusion_path.png"/>
                    <pic:cNvPicPr/>
                  </pic:nvPicPr>
                  <pic:blipFill>
                    <a:blip r:embed="rId17"/>
                    <a:stretch>
                      <a:fillRect/>
                    </a:stretch>
                  </pic:blipFill>
                  <pic:spPr>
                    <a:xfrm>
                      <a:off x="0" y="0"/>
                      <a:ext cx="6080760" cy="2871470"/>
                    </a:xfrm>
                    <a:prstGeom prst="rect"/>
                  </pic:spPr>
                </pic:pic>
              </a:graphicData>
            </a:graphic>
          </wp:inline>
        </w:drawing>
      </w:r>
    </w:p>
    <w:p>
      <w:pPr>
        <w:pStyle w:val="Caption"/>
        <w:jc w:val="center"/>
      </w:pPr>
      <w:r>
        <w:t>Figure 5.2. Implemented fusion rule, including dynamic modality coverage and biometric veto behavior.</w:t>
      </w:r>
    </w:p>
    <w:p>
      <w:pPr>
        <w:pStyle w:val="Heading2"/>
      </w:pPr>
      <w:r>
        <w:t>5.5 Analytical Fusion Examples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376"/>
        <w:gridCol w:w="2952"/>
        <w:gridCol w:w="1656"/>
        <w:gridCol w:w="2016"/>
      </w:tblGrid>
      <w:tr>
        <w:trPr>
          <w:tblHeader w:val="true"/>
        </w:trPr>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Illustrative inputs</w:t>
            </w:r>
          </w:p>
        </w:tc>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Implemented rule</w:t>
            </w:r>
          </w:p>
        </w:tc>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Illustrative output</w:t>
            </w:r>
          </w:p>
        </w:tc>
        <w:tc>
          <w:tcPr>
            <w:tcW w:type="dxa" w:w="2329"/>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Interpretation</w:t>
            </w:r>
          </w:p>
        </w:tc>
      </w:tr>
      <w:tr>
        <w:tc>
          <w:tcPr>
            <w:tcW w:type="dxa" w:w="237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 0.998; audio 0.004; video 0.416</w:t>
            </w:r>
          </w:p>
        </w:tc>
        <w:tc>
          <w:tcPr>
            <w:tcW w:type="dxa" w:w="295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No biometric score reaches 0.85; equal mean</w:t>
            </w:r>
          </w:p>
        </w:tc>
        <w:tc>
          <w:tcPr>
            <w:tcW w:type="dxa" w:w="165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0.4727 (47.27%)</w:t>
            </w:r>
          </w:p>
        </w:tc>
        <w:tc>
          <w:tcPr>
            <w:tcW w:type="dxa" w:w="201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Below the 0.50 decision boundary; arithmetic illustration only.</w:t>
            </w:r>
          </w:p>
        </w:tc>
      </w:tr>
      <w:tr>
        <w:tc>
          <w:tcPr>
            <w:tcW w:type="dxa" w:w="237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 0.0001; audio 1.000; video absent</w:t>
            </w:r>
          </w:p>
        </w:tc>
        <w:tc>
          <w:tcPr>
            <w:tcW w:type="dxa" w:w="295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Audio veto fires; return max available score</w:t>
            </w:r>
          </w:p>
        </w:tc>
        <w:tc>
          <w:tcPr>
            <w:tcW w:type="dxa" w:w="165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1.0000 (100%)</w:t>
            </w:r>
          </w:p>
        </w:tc>
        <w:tc>
          <w:tcPr>
            <w:tcW w:type="dxa" w:w="201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Threat under the configured boundary; rule illustration only.</w:t>
            </w:r>
          </w:p>
        </w:tc>
      </w:tr>
    </w:tbl>
    <w:p>
      <w:pPr>
        <w:spacing w:after="100" w:line="259" w:lineRule="auto"/>
      </w:pPr>
    </w:p>
    <w:p>
      <w:pPr>
        <w:spacing w:line="259" w:lineRule="auto" w:after="100"/>
      </w:pPr>
      <w:r>
        <w:rPr>
          <w:rFonts w:ascii="Times New Roman" w:hAnsi="Times New Roman" w:eastAsia="Times New Roman"/>
          <w:i w:val="0"/>
          <w:sz w:val="24"/>
        </w:rPr>
        <w:t>These calculations are derived from the current fusion function. They are not measured detector outputs or a benchmark result, and must not be described as experimental cases unless the corresponding inputs are linked to actual labeled test records.</w:t>
      </w:r>
    </w:p>
    <w:p>
      <w:pPr>
        <w:pStyle w:val="Heading2"/>
      </w:pPr>
      <w:r>
        <w:t>5.6 Workflow Algorithm</w:t>
      </w:r>
    </w:p>
    <w:p>
      <w:pPr>
        <w:spacing w:after="100" w:line="259" w:lineRule="auto"/>
        <w:ind w:left="432" w:hanging="216"/>
      </w:pPr>
      <w:r>
        <w:rPr>
          <w:rFonts w:ascii="Times New Roman" w:hAnsi="Times New Roman" w:eastAsia="Times New Roman"/>
          <w:sz w:val="24"/>
        </w:rPr>
        <w:t>1. Receive text, audio, video, or any supported combination.</w:t>
      </w:r>
    </w:p>
    <w:p>
      <w:pPr>
        <w:spacing w:after="100" w:line="259" w:lineRule="auto"/>
        <w:ind w:left="432" w:hanging="216"/>
      </w:pPr>
      <w:r>
        <w:rPr>
          <w:rFonts w:ascii="Times New Roman" w:hAnsi="Times New Roman" w:eastAsia="Times New Roman"/>
          <w:sz w:val="24"/>
        </w:rPr>
        <w:t>2. Validate request size, file type, and supported evidence.</w:t>
      </w:r>
    </w:p>
    <w:p>
      <w:pPr>
        <w:spacing w:after="100" w:line="259" w:lineRule="auto"/>
        <w:ind w:left="432" w:hanging="216"/>
      </w:pPr>
      <w:r>
        <w:rPr>
          <w:rFonts w:ascii="Times New Roman" w:hAnsi="Times New Roman" w:eastAsia="Times New Roman"/>
          <w:sz w:val="24"/>
        </w:rPr>
        <w:t>3. Run each available local sensor and record processed, failed, unavailable, or omitted status.</w:t>
      </w:r>
    </w:p>
    <w:p>
      <w:pPr>
        <w:spacing w:after="100" w:line="259" w:lineRule="auto"/>
        <w:ind w:left="432" w:hanging="216"/>
      </w:pPr>
      <w:r>
        <w:rPr>
          <w:rFonts w:ascii="Times New Roman" w:hAnsi="Times New Roman" w:eastAsia="Times New Roman"/>
          <w:sz w:val="24"/>
        </w:rPr>
        <w:t>4. Calibrate the video probability using the loaded threshold when a face score is available.</w:t>
      </w:r>
    </w:p>
    <w:p>
      <w:pPr>
        <w:spacing w:after="100" w:line="259" w:lineRule="auto"/>
        <w:ind w:left="432" w:hanging="216"/>
      </w:pPr>
      <w:r>
        <w:rPr>
          <w:rFonts w:ascii="Times New Roman" w:hAnsi="Times New Roman" w:eastAsia="Times New Roman"/>
          <w:sz w:val="24"/>
        </w:rPr>
        <w:t>5. Apply the audio/video veto or normalized equal-weight score to the successful sensor outputs.</w:t>
      </w:r>
    </w:p>
    <w:p>
      <w:pPr>
        <w:spacing w:after="100" w:line="259" w:lineRule="auto"/>
        <w:ind w:left="432" w:hanging="216"/>
      </w:pPr>
      <w:r>
        <w:rPr>
          <w:rFonts w:ascii="Times New Roman" w:hAnsi="Times New Roman" w:eastAsia="Times New Roman"/>
          <w:sz w:val="24"/>
        </w:rPr>
        <w:t>6. Compare the unified score with the 0.50 threat boundary and return the score, label, indicators, and sensor status.</w:t>
      </w:r>
    </w:p>
    <w:p>
      <w:pPr>
        <w:spacing w:after="100" w:line="259" w:lineRule="auto"/>
        <w:ind w:left="432" w:hanging="216"/>
      </w:pPr>
      <w:r>
        <w:rPr>
          <w:rFonts w:ascii="Times New Roman" w:hAnsi="Times New Roman" w:eastAsia="Times New Roman"/>
          <w:sz w:val="24"/>
        </w:rPr>
        <w:t>7. Save lightweight report metadata in the browser when a scan succeeds; generate a PDF locally when requested.</w:t>
      </w:r>
    </w:p>
    <w:p>
      <w:pPr>
        <w:pStyle w:val="Heading2"/>
      </w:pPr>
      <w:r>
        <w:t>5.7 Design Considerations</w:t>
      </w:r>
    </w:p>
    <w:p>
      <w:pPr>
        <w:spacing w:line="259" w:lineRule="auto" w:after="100"/>
      </w:pPr>
      <w:r>
        <w:rPr>
          <w:rFonts w:ascii="Times New Roman" w:hAnsi="Times New Roman" w:eastAsia="Times New Roman"/>
          <w:i w:val="0"/>
          <w:sz w:val="24"/>
        </w:rPr>
        <w:t>The system is a decision-support prototype. Model confidence values are not automatically calibrated probabilities of real-world harm. Partial-input fusion changes the denominator and therefore the meaning of the aggregate score. A false or unavailable sensor can alter coverage. The UI should expose the sensor statuses and score provenance, and the report should preserve per-sensor scores rather than presenting only the final decision.</w:t>
      </w:r>
    </w:p>
    <w:p>
      <w:pPr>
        <w:keepNext/>
        <w:pageBreakBefore/>
        <w:spacing w:after="240" w:line="259" w:lineRule="auto"/>
      </w:pPr>
      <w:r>
        <w:rPr>
          <w:rFonts w:ascii="Times New Roman" w:hAnsi="Times New Roman" w:eastAsia="Times New Roman"/>
          <w:b/>
          <w:color w:val="102C43"/>
          <w:sz w:val="30"/>
        </w:rPr>
        <w:t>CHAPTER 6  IMPLEMENTATION AND DEVELOPMENT</w:t>
      </w:r>
    </w:p>
    <w:p>
      <w:pPr>
        <w:pStyle w:val="Heading2"/>
      </w:pPr>
      <w:r>
        <w:t>6.1 System Components</w:t>
      </w:r>
    </w:p>
    <w:p>
      <w:pPr>
        <w:spacing w:line="259" w:lineRule="auto" w:after="100"/>
      </w:pPr>
      <w:r>
        <w:rPr>
          <w:rFonts w:ascii="Times New Roman" w:hAnsi="Times New Roman" w:eastAsia="Times New Roman"/>
          <w:i w:val="0"/>
          <w:sz w:val="24"/>
        </w:rPr>
        <w:t>The project contains a React and TypeScript frontend, a FastAPI backend, local PyTorch checkpoints, and a Docker Compose configuration for a two-container deployment. The frontend uses a relative API path. During development, Vite proxies requests to the backend; in the container deployment, Nginx forwards API traffic to the backend service over the Compose network [P4].</w:t>
      </w:r>
    </w:p>
    <w:p>
      <w:pPr>
        <w:pStyle w:val="Heading2"/>
      </w:pPr>
      <w:r>
        <w:t>6.2 Backend API</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3312"/>
        <w:gridCol w:w="1152"/>
        <w:gridCol w:w="4464"/>
      </w:tblGrid>
      <w:tr>
        <w:trPr>
          <w:tblHeader w:val="true"/>
        </w:trPr>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Endpoint</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Method</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Purpose</w:t>
            </w:r>
          </w:p>
        </w:tc>
      </w:tr>
      <w:tr>
        <w:tc>
          <w:tcPr>
            <w:tcW w:type="dxa" w:w="331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/api/health</w:t>
            </w:r>
          </w:p>
        </w:tc>
        <w:tc>
          <w:tcPr>
            <w:tcW w:type="dxa" w:w="115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GET</w:t>
            </w:r>
          </w:p>
        </w:tc>
        <w:tc>
          <w:tcPr>
            <w:tcW w:type="dxa" w:w="446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Reports backend and local model availability.</w:t>
            </w:r>
          </w:p>
        </w:tc>
      </w:tr>
      <w:tr>
        <w:tc>
          <w:tcPr>
            <w:tcW w:type="dxa" w:w="331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/api/analyze/email</w:t>
            </w:r>
          </w:p>
        </w:tc>
        <w:tc>
          <w:tcPr>
            <w:tcW w:type="dxa" w:w="115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POST</w:t>
            </w:r>
          </w:p>
        </w:tc>
        <w:tc>
          <w:tcPr>
            <w:tcW w:type="dxa" w:w="446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Analyzes email text.</w:t>
            </w:r>
          </w:p>
        </w:tc>
      </w:tr>
      <w:tr>
        <w:tc>
          <w:tcPr>
            <w:tcW w:type="dxa" w:w="331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/api/analyze/audio</w:t>
            </w:r>
          </w:p>
        </w:tc>
        <w:tc>
          <w:tcPr>
            <w:tcW w:type="dxa" w:w="115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POST</w:t>
            </w:r>
          </w:p>
        </w:tc>
        <w:tc>
          <w:tcPr>
            <w:tcW w:type="dxa" w:w="446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Analyzes an audio upload.</w:t>
            </w:r>
          </w:p>
        </w:tc>
      </w:tr>
      <w:tr>
        <w:tc>
          <w:tcPr>
            <w:tcW w:type="dxa" w:w="331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/api/analyze/video</w:t>
            </w:r>
          </w:p>
        </w:tc>
        <w:tc>
          <w:tcPr>
            <w:tcW w:type="dxa" w:w="115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POST</w:t>
            </w:r>
          </w:p>
        </w:tc>
        <w:tc>
          <w:tcPr>
            <w:tcW w:type="dxa" w:w="446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Analyzes a video upload.</w:t>
            </w:r>
          </w:p>
        </w:tc>
      </w:tr>
      <w:tr>
        <w:tc>
          <w:tcPr>
            <w:tcW w:type="dxa" w:w="331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/api/analyze/multimodal</w:t>
            </w:r>
          </w:p>
        </w:tc>
        <w:tc>
          <w:tcPr>
            <w:tcW w:type="dxa" w:w="115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POST</w:t>
            </w:r>
          </w:p>
        </w:tc>
        <w:tc>
          <w:tcPr>
            <w:tcW w:type="dxa" w:w="446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Analyzes any submitted combination of email text, audio, and video.</w:t>
            </w:r>
          </w:p>
        </w:tc>
      </w:tr>
    </w:tbl>
    <w:p>
      <w:pPr>
        <w:spacing w:after="100" w:line="259" w:lineRule="auto"/>
      </w:pPr>
    </w:p>
    <w:p>
      <w:pPr>
        <w:spacing w:line="259" w:lineRule="auto" w:after="100"/>
      </w:pPr>
      <w:r>
        <w:rPr>
          <w:rFonts w:ascii="Times New Roman" w:hAnsi="Times New Roman" w:eastAsia="Times New Roman"/>
          <w:i w:val="0"/>
          <w:sz w:val="24"/>
        </w:rPr>
        <w:t>The API response contains an analysis ID, analysis type, status, prediction label and score, score type, model name, summary, indicators, creation time, and modality status. File handling applies extension, size, and duration controls. The API attempts each supplied sensor independently and can return a partial status if one sensor fails while others succeed [P1].</w:t>
      </w:r>
    </w:p>
    <w:p>
      <w:pPr>
        <w:pStyle w:val="Heading2"/>
      </w:pPr>
      <w:r>
        <w:t>6.3 Email Inference</w:t>
      </w:r>
    </w:p>
    <w:p>
      <w:pPr>
        <w:spacing w:line="259" w:lineRule="auto" w:after="100"/>
      </w:pPr>
      <w:r>
        <w:rPr>
          <w:rFonts w:ascii="Times New Roman" w:hAnsi="Times New Roman" w:eastAsia="Times New Roman"/>
          <w:i w:val="0"/>
          <w:sz w:val="24"/>
        </w:rPr>
        <w:t>The backend loads a locally stored DistilBERT sequence-classification model and tokenizer. It tokenizes text to a maximum sequence length of 256, applies a softmax, and uses class index 1 as the phishing score. The single-modality email endpoint and fusion indicator use a 0.50 threshold. The classification checkpoint is stored under models/final/phishing_email.</w:t>
      </w:r>
    </w:p>
    <w:p>
      <w:pPr>
        <w:pStyle w:val="Heading2"/>
      </w:pPr>
      <w:r>
        <w:t>6.4 Audio Inference</w:t>
      </w:r>
    </w:p>
    <w:p>
      <w:pPr>
        <w:spacing w:line="259" w:lineRule="auto" w:after="100"/>
      </w:pPr>
      <w:r>
        <w:rPr>
          <w:rFonts w:ascii="Times New Roman" w:hAnsi="Times New Roman" w:eastAsia="Times New Roman"/>
          <w:i w:val="0"/>
          <w:sz w:val="24"/>
        </w:rPr>
        <w:t>Audio is decoded at 16 kHz and transformed into a 40 by 300 MFCC matrix with 2,048-point FFT and 512-point hop. The CNN contains three convolution, batch-normalization, ReLU, and max-pooling stages with 32, 64, and 128 channels, followed by a 256-unit fully connected layer, dropout, and a single logit. The sigmoid score is treated as spoof confidence; the operational classification boundary is 0.45. The saved checkpoint is models/final/audio_detector/audio_cnn_model.pth.</w:t>
      </w:r>
    </w:p>
    <w:p>
      <w:pPr>
        <w:pStyle w:val="Heading2"/>
      </w:pPr>
      <w:r>
        <w:t>6.5 Video Inference</w:t>
      </w:r>
    </w:p>
    <w:p>
      <w:pPr>
        <w:spacing w:line="259" w:lineRule="auto" w:after="100"/>
      </w:pPr>
      <w:r>
        <w:rPr>
          <w:rFonts w:ascii="Times New Roman" w:hAnsi="Times New Roman" w:eastAsia="Times New Roman"/>
          <w:i w:val="0"/>
          <w:sz w:val="24"/>
        </w:rPr>
        <w:t>The video model is an EfficientNet-B0 with a replaced classifier head. MTCNN detects faces in sampled frames; face detections above 0.90 confidence are cropped and normalized. The backend averages up to five face-crop scores. The raw model score is shifted in logit space by a calibration threshold. The code falls back to 0.7920 if no valid calibration file is available; a raw score equal to the calibration threshold maps to a calibrated score of 0.50. A present calibration file overrides this legacy threshold. The checkpoint is models/final/video_detector/model.safetensors_2.</w:t>
      </w:r>
    </w:p>
    <w:p>
      <w:pPr>
        <w:keepLines/>
        <w:spacing w:before="100" w:after="0"/>
        <w:jc w:val="center"/>
      </w:pPr>
      <w:r>
        <w:drawing>
          <wp:inline xmlns:a="http://schemas.openxmlformats.org/drawingml/2006/main" xmlns:pic="http://schemas.openxmlformats.org/drawingml/2006/picture">
            <wp:extent cx="6080760" cy="2871470"/>
            <wp:docPr id="9" name="Picture 9"/>
            <wp:cNvGraphicFramePr>
              <a:graphicFrameLocks noChangeAspect="1"/>
            </wp:cNvGraphicFramePr>
            <a:graphic>
              <a:graphicData uri="http://schemas.openxmlformats.org/drawingml/2006/picture">
                <pic:pic>
                  <pic:nvPicPr>
                    <pic:cNvPr id="0" name="sensor_pipelines.png"/>
                    <pic:cNvPicPr/>
                  </pic:nvPicPr>
                  <pic:blipFill>
                    <a:blip r:embed="rId18"/>
                    <a:stretch>
                      <a:fillRect/>
                    </a:stretch>
                  </pic:blipFill>
                  <pic:spPr>
                    <a:xfrm>
                      <a:off x="0" y="0"/>
                      <a:ext cx="6080760" cy="2871470"/>
                    </a:xfrm>
                    <a:prstGeom prst="rect"/>
                  </pic:spPr>
                </pic:pic>
              </a:graphicData>
            </a:graphic>
          </wp:inline>
        </w:drawing>
      </w:r>
    </w:p>
    <w:p>
      <w:pPr>
        <w:pStyle w:val="Caption"/>
        <w:jc w:val="center"/>
      </w:pPr>
      <w:r>
        <w:t>Figure 6.1. Modality-specific inference pipelines used by the current prototype.</w:t>
      </w:r>
    </w:p>
    <w:p>
      <w:pPr>
        <w:pStyle w:val="Heading2"/>
      </w:pPr>
      <w:r>
        <w:t>6.6 Fusion and User Interface</w:t>
      </w:r>
    </w:p>
    <w:p>
      <w:pPr>
        <w:spacing w:line="259" w:lineRule="auto" w:after="100"/>
      </w:pPr>
      <w:r>
        <w:rPr>
          <w:rFonts w:ascii="Times New Roman" w:hAnsi="Times New Roman" w:eastAsia="Times New Roman"/>
          <w:i w:val="0"/>
          <w:sz w:val="24"/>
        </w:rPr>
        <w:t>The fusion function in src/fusion.py uses equal nominal weights of 0.3333, renormalizes over available sensors, and applies a veto at 0.85 for audio or video. The React interface exposes Dashboard, Email Intelligence, Audio Forensics, Video Forensics, Multimodal Fusion, Threat Reports, and Settings pages. The browser-side report module saves lightweight metadata in localStorage and creates a jsPDF document locally; it does not send PDF content to a server [P2, P5].</w:t>
      </w:r>
    </w:p>
    <w:p>
      <w:pPr>
        <w:pStyle w:val="Heading2"/>
      </w:pPr>
      <w:r>
        <w:t>6.7 Deployment and Privacy</w:t>
      </w:r>
    </w:p>
    <w:p>
      <w:pPr>
        <w:spacing w:line="259" w:lineRule="auto" w:after="100"/>
      </w:pPr>
      <w:r>
        <w:rPr>
          <w:rFonts w:ascii="Times New Roman" w:hAnsi="Times New Roman" w:eastAsia="Times New Roman"/>
          <w:i w:val="0"/>
          <w:sz w:val="24"/>
        </w:rPr>
        <w:t>Docker Compose defines separate FastAPI and Nginx/React services, mounts model weights read-only, enables Hugging Face offline mode, and publishes the UI on loopback by default. This supports local operation after image dependencies and weights are present. It is not sufficient by itself to certify an air gap: host firewall, network routes, dependency supply chain, and machine configuration remain outside the application code. The report therefore describes the application as local inference and does not claim externally audited isolation.</w:t>
      </w:r>
    </w:p>
    <w:p>
      <w:pPr>
        <w:keepLines/>
        <w:spacing w:before="100" w:after="0"/>
        <w:jc w:val="center"/>
      </w:pPr>
      <w:r>
        <w:drawing>
          <wp:inline xmlns:a="http://schemas.openxmlformats.org/drawingml/2006/main" xmlns:pic="http://schemas.openxmlformats.org/drawingml/2006/picture">
            <wp:extent cx="6080760" cy="2871470"/>
            <wp:docPr id="10" name="Picture 10"/>
            <wp:cNvGraphicFramePr>
              <a:graphicFrameLocks noChangeAspect="1"/>
            </wp:cNvGraphicFramePr>
            <a:graphic>
              <a:graphicData uri="http://schemas.openxmlformats.org/drawingml/2006/picture">
                <pic:pic>
                  <pic:nvPicPr>
                    <pic:cNvPr id="0" name="deployment.png"/>
                    <pic:cNvPicPr/>
                  </pic:nvPicPr>
                  <pic:blipFill>
                    <a:blip r:embed="rId19"/>
                    <a:stretch>
                      <a:fillRect/>
                    </a:stretch>
                  </pic:blipFill>
                  <pic:spPr>
                    <a:xfrm>
                      <a:off x="0" y="0"/>
                      <a:ext cx="6080760" cy="2871470"/>
                    </a:xfrm>
                    <a:prstGeom prst="rect"/>
                  </pic:spPr>
                </pic:pic>
              </a:graphicData>
            </a:graphic>
          </wp:inline>
        </w:drawing>
      </w:r>
    </w:p>
    <w:p>
      <w:pPr>
        <w:pStyle w:val="Caption"/>
        <w:jc w:val="center"/>
      </w:pPr>
      <w:r>
        <w:t>Figure 6.2. Two-container local deployment and the boundary of the application’s privacy claims.</w:t>
      </w:r>
    </w:p>
    <w:p>
      <w:pPr>
        <w:pStyle w:val="Heading2"/>
      </w:pPr>
      <w:r>
        <w:t>6.8 Reproducibility and Testing Status</w:t>
      </w:r>
    </w:p>
    <w:p>
      <w:pPr>
        <w:spacing w:line="259" w:lineRule="auto" w:after="100"/>
      </w:pPr>
      <w:r>
        <w:rPr>
          <w:rFonts w:ascii="Times New Roman" w:hAnsi="Times New Roman" w:eastAsia="Times New Roman"/>
          <w:i w:val="0"/>
          <w:sz w:val="24"/>
        </w:rPr>
        <w:t>The repository contains model weights, source notebooks, backend and frontend code, an email diagnostic prediction export, an audio reconstructed diagnostic export, and a benchmark runner with a paired-manifest contract. The available email and audio exports include run metadata but have unresolved checkpoint or split lineage, so they support diagnostic re-scoring rather than unqualified held-out estimates. The snapshot contains no active-checkpoint video test export and no completed authentic paired-fusion run. These gaps limit performance claims even though the application inference pipeline is implemented.</w:t>
      </w:r>
    </w:p>
    <w:p>
      <w:pPr>
        <w:keepNext/>
        <w:pageBreakBefore/>
        <w:spacing w:after="240" w:line="259" w:lineRule="auto"/>
      </w:pPr>
      <w:r>
        <w:rPr>
          <w:rFonts w:ascii="Times New Roman" w:hAnsi="Times New Roman" w:eastAsia="Times New Roman"/>
          <w:b/>
          <w:color w:val="102C43"/>
          <w:sz w:val="30"/>
        </w:rPr>
        <w:t>CHAPTER 7  RESULTS AND DISCUSSION</w:t>
      </w:r>
    </w:p>
    <w:p>
      <w:pPr>
        <w:pStyle w:val="Heading2"/>
      </w:pPr>
      <w:r>
        <w:t>7.1 Email Result Available in the Project</w:t>
      </w:r>
    </w:p>
    <w:p>
      <w:pPr>
        <w:spacing w:line="259" w:lineRule="auto" w:after="100"/>
      </w:pPr>
      <w:r>
        <w:rPr>
          <w:rFonts w:ascii="Times New Roman" w:hAnsi="Times New Roman" w:eastAsia="Times New Roman"/>
          <w:i w:val="0"/>
          <w:sz w:val="24"/>
        </w:rPr>
        <w:t>The repository now includes outputs/reports/email_test_predictions.csv and email_test_metrics.json, a current-checkpoint re-score of the saved 3,508-row email test split. At threshold 0.50 the counts are TP=1,308, TN=2,023, FP=173, and FN=4, yielding 94.95% accuracy, 88.32% precision, 99.70% recall, 7.88% FPR, and 0.30% FNR. The checkpoint hash and dataset hash are recorded, but the metric file explicitly says the checkpoint’s training and model-selection provenance is unverified. This is therefore a diagnostic re-score, not proven held-out performance. The earlier Colab report states 98.80%, while its archived counts imply 98.69%; the current re-score does not resolve which checkpoint generated that older result.</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880"/>
        <w:gridCol w:w="2880"/>
        <w:gridCol w:w="3312"/>
      </w:tblGrid>
      <w:tr>
        <w:trPr>
          <w:tblHeader w:val="true"/>
        </w:trPr>
        <w:tc>
          <w:tcPr>
            <w:tcW w:type="dxa" w:w="3106"/>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Evidence source</w:t>
            </w:r>
          </w:p>
        </w:tc>
        <w:tc>
          <w:tcPr>
            <w:tcW w:type="dxa" w:w="3106"/>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Recorded value</w:t>
            </w:r>
          </w:p>
        </w:tc>
        <w:tc>
          <w:tcPr>
            <w:tcW w:type="dxa" w:w="3106"/>
            <w:vAlign w:val="center"/>
            <w:tcMar>
              <w:top w:w="80" w:type="dxa"/>
              <w:start w:w="95" w:type="dxa"/>
              <w:bottom w:w="80" w:type="dxa"/>
              <w:end w:w="95" w:type="dxa"/>
            </w:tcMar>
            <w:shd w:fill="18364F"/>
          </w:tcPr>
          <w:p>
            <w:pPr>
              <w:spacing w:after="40" w:line="240" w:lineRule="auto"/>
            </w:pPr>
            <w:r>
              <w:rPr>
                <w:rFonts w:ascii="Times New Roman" w:hAnsi="Times New Roman" w:eastAsia="Times New Roman"/>
                <w:sz w:val="24"/>
              </w:rPr>
              <w:t>Interpretation</w:t>
            </w:r>
          </w:p>
        </w:tc>
      </w:tr>
      <w:tr>
        <w:tc>
          <w:tcPr>
            <w:tcW w:type="dxa" w:w="2880"/>
            <w:vAlign w:val="center"/>
            <w:tcMar>
              <w:top w:w="80" w:type="dxa"/>
              <w:start w:w="95" w:type="dxa"/>
              <w:bottom w:w="80" w:type="dxa"/>
              <w:end w:w="95" w:type="dxa"/>
            </w:tcMar>
          </w:tcPr>
          <w:p>
            <w:pPr>
              <w:spacing w:after="40" w:line="240" w:lineRule="auto"/>
            </w:pPr>
            <w:r>
              <w:rPr>
                <w:rFonts w:ascii="Times New Roman" w:hAnsi="Times New Roman" w:eastAsia="Times New Roman"/>
                <w:sz w:val="24"/>
              </w:rPr>
              <w:t>Email current-checkpoint re-score</w:t>
            </w:r>
          </w:p>
        </w:tc>
        <w:tc>
          <w:tcPr>
            <w:tcW w:type="dxa" w:w="2880"/>
            <w:vAlign w:val="center"/>
            <w:tcMar>
              <w:top w:w="80" w:type="dxa"/>
              <w:start w:w="95" w:type="dxa"/>
              <w:bottom w:w="80" w:type="dxa"/>
              <w:end w:w="95" w:type="dxa"/>
            </w:tcMar>
          </w:tcPr>
          <w:p>
            <w:pPr>
              <w:spacing w:after="40" w:line="240" w:lineRule="auto"/>
            </w:pPr>
            <w:r>
              <w:rPr>
                <w:rFonts w:ascii="Times New Roman" w:hAnsi="Times New Roman" w:eastAsia="Times New Roman"/>
                <w:sz w:val="24"/>
              </w:rPr>
              <w:t>N=3,508; TP 1,308; TN 2,023; FP 173; FN 4; accuracy 94.95%.</w:t>
            </w:r>
          </w:p>
        </w:tc>
        <w:tc>
          <w:tcPr>
            <w:tcW w:type="dxa" w:w="3312"/>
            <w:vAlign w:val="center"/>
            <w:tcMar>
              <w:top w:w="80" w:type="dxa"/>
              <w:start w:w="95" w:type="dxa"/>
              <w:bottom w:w="80" w:type="dxa"/>
              <w:end w:w="95" w:type="dxa"/>
            </w:tcMar>
          </w:tcPr>
          <w:p>
            <w:pPr>
              <w:spacing w:after="40" w:line="240" w:lineRule="auto"/>
            </w:pPr>
            <w:r>
              <w:rPr>
                <w:rFonts w:ascii="Times New Roman" w:hAnsi="Times New Roman" w:eastAsia="Times New Roman"/>
                <w:sz w:val="24"/>
              </w:rPr>
              <w:t>Prediction CSV and run metadata exist; checkpoint training provenance is unverified, so treat as diagnostic.</w:t>
            </w:r>
          </w:p>
        </w:tc>
      </w:tr>
      <w:tr>
        <w:tc>
          <w:tcPr>
            <w:tcW w:type="dxa" w:w="2880"/>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Email unclipped subset</w:t>
            </w:r>
          </w:p>
        </w:tc>
        <w:tc>
          <w:tcPr>
            <w:tcW w:type="dxa" w:w="2880"/>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N=3,507; FP 172; accuracy 94.98%; FPR 7.84%.</w:t>
            </w:r>
          </w:p>
        </w:tc>
        <w:tc>
          <w:tcPr>
            <w:tcW w:type="dxa" w:w="3312"/>
            <w:vAlign w:val="center"/>
            <w:tcMar>
              <w:top w:w="80" w:type="dxa"/>
              <w:start w:w="95" w:type="dxa"/>
              <w:bottom w:w="80" w:type="dxa"/>
              <w:end w:w="95" w:type="dxa"/>
            </w:tcMar>
            <w:shd w:fill="F1F5F8"/>
          </w:tcPr>
          <w:p>
            <w:pPr>
              <w:spacing w:after="40" w:line="240" w:lineRule="auto"/>
            </w:pPr>
            <w:r>
              <w:rPr>
                <w:rFonts w:ascii="Times New Roman" w:hAnsi="Times New Roman" w:eastAsia="Times New Roman"/>
                <w:sz w:val="24"/>
              </w:rPr>
              <w:t>The one clipped input changes the current score minimally; clipping does not explain the historical gap.</w:t>
            </w:r>
          </w:p>
        </w:tc>
      </w:tr>
      <w:tr>
        <w:tc>
          <w:tcPr>
            <w:tcW w:type="dxa" w:w="2880"/>
            <w:vAlign w:val="center"/>
            <w:tcMar>
              <w:top w:w="80" w:type="dxa"/>
              <w:start w:w="95" w:type="dxa"/>
              <w:bottom w:w="80" w:type="dxa"/>
              <w:end w:w="95" w:type="dxa"/>
            </w:tcMar>
          </w:tcPr>
          <w:p>
            <w:pPr>
              <w:spacing w:after="40" w:line="240" w:lineRule="auto"/>
            </w:pPr>
            <w:r>
              <w:rPr>
                <w:rFonts w:ascii="Times New Roman" w:hAnsi="Times New Roman" w:eastAsia="Times New Roman"/>
                <w:sz w:val="24"/>
              </w:rPr>
              <w:t>Earlier Colab email report</w:t>
            </w:r>
          </w:p>
        </w:tc>
        <w:tc>
          <w:tcPr>
            <w:tcW w:type="dxa" w:w="2880"/>
            <w:vAlign w:val="center"/>
            <w:tcMar>
              <w:top w:w="80" w:type="dxa"/>
              <w:start w:w="95" w:type="dxa"/>
              <w:bottom w:w="80" w:type="dxa"/>
              <w:end w:w="95" w:type="dxa"/>
            </w:tcMar>
          </w:tcPr>
          <w:p>
            <w:pPr>
              <w:spacing w:after="40" w:line="240" w:lineRule="auto"/>
            </w:pPr>
            <w:r>
              <w:rPr>
                <w:rFonts w:ascii="Times New Roman" w:hAnsi="Times New Roman" w:eastAsia="Times New Roman"/>
                <w:sz w:val="24"/>
              </w:rPr>
              <w:t>Headline accuracy 98.80%; archived counts imply 98.69%.</w:t>
            </w:r>
          </w:p>
        </w:tc>
        <w:tc>
          <w:tcPr>
            <w:tcW w:type="dxa" w:w="3312"/>
            <w:vAlign w:val="center"/>
            <w:tcMar>
              <w:top w:w="80" w:type="dxa"/>
              <w:start w:w="95" w:type="dxa"/>
              <w:bottom w:w="80" w:type="dxa"/>
              <w:end w:w="95" w:type="dxa"/>
            </w:tcMar>
          </w:tcPr>
          <w:p>
            <w:pPr>
              <w:spacing w:after="40" w:line="240" w:lineRule="auto"/>
            </w:pPr>
            <w:r>
              <w:rPr>
                <w:rFonts w:ascii="Times New Roman" w:hAnsi="Times New Roman" w:eastAsia="Times New Roman"/>
                <w:sz w:val="24"/>
              </w:rPr>
              <w:t>Separate historical run; active checkpoint lineage is not established and the two summaries disagree.</w:t>
            </w:r>
          </w:p>
        </w:tc>
      </w:tr>
      <w:tr>
        <w:tc>
          <w:tcPr>
            <w:tcW w:type="dxa" w:w="2880"/>
            <w:vAlign w:val="center"/>
          </w:tcPr>
          <w:p>
            <w:pPr>
              <w:spacing w:after="40" w:line="240" w:lineRule="auto"/>
            </w:pPr>
            <w:r>
              <w:rPr>
                <w:rFonts w:ascii="Times New Roman" w:hAnsi="Times New Roman" w:eastAsia="Times New Roman"/>
                <w:sz w:val="24"/>
              </w:rPr>
              <w:t>Audio reconstructed re-score</w:t>
            </w:r>
          </w:p>
        </w:tc>
        <w:tc>
          <w:tcPr>
            <w:tcW w:type="dxa" w:w="2880"/>
            <w:vAlign w:val="center"/>
          </w:tcPr>
          <w:p>
            <w:pPr>
              <w:spacing w:after="40" w:line="240" w:lineRule="auto"/>
            </w:pPr>
            <w:r>
              <w:rPr>
                <w:rFonts w:ascii="Times New Roman" w:hAnsi="Times New Roman" w:eastAsia="Times New Roman"/>
                <w:sz w:val="24"/>
              </w:rPr>
              <w:t>N=500; TP 448; TN 46; FP 5; FN 1; accuracy 98.8%; FPR 9.80%.</w:t>
            </w:r>
          </w:p>
        </w:tc>
        <w:tc>
          <w:tcPr>
            <w:tcW w:type="dxa" w:w="3312"/>
            <w:vAlign w:val="center"/>
          </w:tcPr>
          <w:p>
            <w:pPr>
              <w:spacing w:after="40" w:line="240" w:lineRule="auto"/>
            </w:pPr>
            <w:r>
              <w:rPr>
                <w:rFonts w:ascii="Times New Roman" w:hAnsi="Times New Roman" w:eastAsia="Times New Roman"/>
                <w:sz w:val="24"/>
              </w:rPr>
              <w:t>Random sample split with no source IDs; only 51 genuine test records; diagnostic only.</w:t>
            </w:r>
          </w:p>
        </w:tc>
      </w:tr>
      <w:tr>
        <w:tc>
          <w:tcPr>
            <w:tcW w:type="dxa" w:w="2880"/>
            <w:vAlign w:val="center"/>
          </w:tcPr>
          <w:p>
            <w:pPr>
              <w:spacing w:after="40" w:line="240" w:lineRule="auto"/>
            </w:pPr>
            <w:r>
              <w:rPr>
                <w:rFonts w:ascii="Times New Roman" w:hAnsi="Times New Roman" w:eastAsia="Times New Roman"/>
                <w:sz w:val="24"/>
              </w:rPr>
              <w:t>Video and multimodal fusion</w:t>
            </w:r>
          </w:p>
        </w:tc>
        <w:tc>
          <w:tcPr>
            <w:tcW w:type="dxa" w:w="2880"/>
            <w:vAlign w:val="center"/>
          </w:tcPr>
          <w:p>
            <w:pPr>
              <w:spacing w:after="40" w:line="240" w:lineRule="auto"/>
            </w:pPr>
            <w:r>
              <w:rPr>
                <w:rFonts w:ascii="Times New Roman" w:hAnsi="Times New Roman" w:eastAsia="Times New Roman"/>
                <w:sz w:val="24"/>
              </w:rPr>
              <w:t>No active-checkpoint video test report; no authentic paired-fusion run.</w:t>
            </w:r>
          </w:p>
        </w:tc>
        <w:tc>
          <w:tcPr>
            <w:tcW w:type="dxa" w:w="3312"/>
            <w:vAlign w:val="center"/>
          </w:tcPr>
          <w:p>
            <w:pPr>
              <w:spacing w:after="40" w:line="240" w:lineRule="auto"/>
            </w:pPr>
            <w:r>
              <w:rPr>
                <w:rFonts w:ascii="Times New Roman" w:hAnsi="Times New Roman" w:eastAsia="Times New Roman"/>
                <w:sz w:val="24"/>
              </w:rPr>
              <w:t>Do not report video accuracy or fusion benefit from current evidence.</w:t>
            </w:r>
          </w:p>
        </w:tc>
      </w:tr>
    </w:tbl>
    <w:p>
      <w:pPr>
        <w:spacing w:after="100" w:line="259" w:lineRule="auto"/>
      </w:pPr>
    </w:p>
    <w:p>
      <w:pPr>
        <w:spacing w:line="259" w:lineRule="auto" w:after="100"/>
      </w:pPr>
      <w:r>
        <w:rPr>
          <w:rFonts w:ascii="Times New Roman" w:hAnsi="Times New Roman" w:eastAsia="Times New Roman"/>
          <w:i w:val="0"/>
          <w:sz w:val="24"/>
        </w:rPr>
        <w:t>An unclipped diagnostic excludes the one input exceeding the configured API character limit (N=3,507; TP=1,308, TN=2,023, FP=172, FN=4) and yields 94.98% accuracy and 7.84% FPR. This small change shows that clipping does not explain the gap from the older Colab headline. The earlier classification report and archived confusion matrix remain inconsistent, and the training lineage behind both historic artifacts is not established.</w:t>
      </w:r>
    </w:p>
    <w:p>
      <w:pPr>
        <w:pStyle w:val="Heading2"/>
      </w:pPr>
      <w:r>
        <w:t>7.2 Audio and Video Results</w:t>
      </w:r>
    </w:p>
    <w:p>
      <w:pPr>
        <w:spacing w:line="259" w:lineRule="auto" w:after="100"/>
      </w:pPr>
      <w:r>
        <w:rPr>
          <w:rFonts w:ascii="Times New Roman" w:hAnsi="Times New Roman" w:eastAsia="Times New Roman"/>
          <w:i w:val="0"/>
          <w:sz w:val="24"/>
        </w:rPr>
        <w:t>The repository includes an audio reconstructed re-score at outputs/reports/audio_reconstructed_test_metrics.json and its per-row output CSV. On N=500 random sample rows (449 spoof, 51 genuine), both the 0.50 notebook-comparison boundary and 0.45 deployed boundary produce TP=448, TN=46, FP=5, FN=1; accuracy is 98.8%, FPR 9.80%, and FNR 0.22%. The small genuine denominator, absence of speaker/session IDs, and unverified mapping between this checkpoint and the supplied Colab run make this diagnostic only. No active-checkpoint video test report is present. Audio 0.45 and video fallback tau 0.7920 (recentered to a 0.50 decision boundary) are implementation settings, not evidence of benchmark performance.</w:t>
      </w:r>
    </w:p>
    <w:p>
      <w:pPr>
        <w:pStyle w:val="Heading2"/>
      </w:pPr>
      <w:r>
        <w:t>7.3 Multimodal Fusion Results</w:t>
      </w:r>
    </w:p>
    <w:p>
      <w:pPr>
        <w:spacing w:line="259" w:lineRule="auto" w:after="100"/>
      </w:pPr>
      <w:r>
        <w:rPr>
          <w:rFonts w:ascii="Times New Roman" w:hAnsi="Times New Roman" w:eastAsia="Times New Roman"/>
          <w:i w:val="0"/>
          <w:sz w:val="24"/>
        </w:rPr>
        <w:t>The fusion function is implemented, but no completed paired held-out evaluation artifacts were found in outputs/reports. Historical ablation rows in the project are explicitly identified as unverified because their former pipeline combined unrelated modality records and selected a video threshold on the scoring records [P8]. The current runner requires curated paired scenarios and creates metrics, prediction, and run-metadata outputs; those outputs are not present. The earlier percentages such as 99.1% accuracy and 0.4% false-negative rate are therefore omitted as measured claims.</w:t>
      </w:r>
    </w:p>
    <w:p>
      <w:pPr>
        <w:spacing w:line="259" w:lineRule="auto" w:after="100"/>
      </w:pPr>
      <w:r>
        <w:rPr>
          <w:rFonts w:ascii="Times New Roman" w:hAnsi="Times New Roman" w:eastAsia="Times New Roman"/>
          <w:i w:val="0"/>
          <w:sz w:val="24"/>
        </w:rPr>
        <w:t>The examples in Chapter 8 demonstrate how the code behaves for selected numeric inputs. They validate arithmetic by inspection only. They do not establish sensor detection, fault tolerance on real attacks, or improved accuracy across the seven modality subsets.</w:t>
      </w:r>
    </w:p>
    <w:p>
      <w:pPr>
        <w:pStyle w:val="Heading2"/>
      </w:pPr>
      <w:r>
        <w:t>7.4 Integrated System Results</w:t>
      </w:r>
    </w:p>
    <w:p>
      <w:pPr>
        <w:spacing w:line="259" w:lineRule="auto" w:after="100"/>
      </w:pPr>
      <w:r>
        <w:rPr>
          <w:rFonts w:ascii="Times New Roman" w:hAnsi="Times New Roman" w:eastAsia="Times New Roman"/>
          <w:i w:val="0"/>
          <w:sz w:val="24"/>
        </w:rPr>
        <w:t>The implementation provides separate inference endpoints, a multimodal endpoint, health reporting, modality-level status, a dashboard, forensic scanners, local report history, and client-side PDF generation. Docker Compose configuration describes a local two-service deployment. No independently audited security test, sustained-load result, or measured latency report is present in this snapshot. Functional availability should therefore be demonstrated separately from detection quality.</w:t>
      </w:r>
    </w:p>
    <w:p>
      <w:pPr>
        <w:pStyle w:val="Heading2"/>
      </w:pPr>
      <w:r>
        <w:t>7.5 Discussion</w:t>
      </w:r>
    </w:p>
    <w:p>
      <w:pPr>
        <w:spacing w:line="259" w:lineRule="auto" w:after="100"/>
      </w:pPr>
      <w:r>
        <w:rPr>
          <w:rFonts w:ascii="Times New Roman" w:hAnsi="Times New Roman" w:eastAsia="Times New Roman"/>
          <w:i w:val="0"/>
          <w:sz w:val="24"/>
        </w:rPr>
        <w:t>The current evidence is stronger than an implementation-only description because sample-level diagnostic re-scores now exist for email and audio. Their exact counts and run metadata are reproducible from the project outputs, but the email checkpoint lineage and audio source grouping remain unresolved. The audio estimate is particularly imprecise for benign speech because only 51 genuine test rows are available. No video test metrics or authentic paired fusion results are available. The appropriate contribution is therefore the functioning architecture and a documented evaluation protocol, not an accuracy advantage. Threshold selection, group separation, coverage, class balance, and training-data overlap must be resolved before stronger research claims are made.</w:t>
      </w:r>
    </w:p>
    <w:p>
      <w:pPr>
        <w:keepNext/>
        <w:pageBreakBefore/>
        <w:spacing w:after="240" w:line="259" w:lineRule="auto"/>
      </w:pPr>
      <w:r>
        <w:rPr>
          <w:rFonts w:ascii="Times New Roman" w:hAnsi="Times New Roman" w:eastAsia="Times New Roman"/>
          <w:b/>
          <w:color w:val="102C43"/>
          <w:sz w:val="30"/>
        </w:rPr>
        <w:t>CHAPTER 8  RESEARCH PAPER</w:t>
      </w:r>
    </w:p>
    <w:p>
      <w:pPr>
        <w:spacing w:after="160" w:line="259" w:lineRule="auto"/>
        <w:jc w:val="center"/>
      </w:pPr>
      <w:r>
        <w:rPr>
          <w:rFonts w:ascii="Times New Roman" w:hAnsi="Times New Roman" w:eastAsia="Times New Roman"/>
          <w:b/>
          <w:sz w:val="32"/>
        </w:rPr>
        <w:t>SynthGuard for Multimodal Threat and Synthetic Media Analysis</w:t>
      </w:r>
    </w:p>
    <w:p>
      <w:pPr>
        <w:spacing w:line="259" w:lineRule="auto" w:after="100"/>
        <w:jc w:val="center"/>
      </w:pPr>
      <w:r>
        <w:rPr>
          <w:rFonts w:ascii="Times New Roman" w:hAnsi="Times New Roman" w:eastAsia="Times New Roman"/>
          <w:sz w:val="24"/>
        </w:rPr>
        <w:t>Jay Shravan Kumar Sharma | TYCS47 | B.Sc. Computer Science</w:t>
      </w:r>
    </w:p>
    <w:p>
      <w:pPr>
        <w:spacing w:after="200" w:line="259" w:lineRule="auto"/>
        <w:jc w:val="center"/>
      </w:pPr>
      <w:r>
        <w:rPr>
          <w:rFonts w:ascii="Times New Roman" w:hAnsi="Times New Roman" w:eastAsia="Times New Roman"/>
          <w:sz w:val="24"/>
        </w:rPr>
        <w:t>Department of Computer Science, Bhavan's College, University of Mumbai</w:t>
      </w:r>
    </w:p>
    <w:p>
      <w:pPr>
        <w:spacing w:line="259" w:lineRule="auto" w:after="100"/>
        <w:jc w:val="both"/>
      </w:pPr>
      <w:r>
        <w:rPr>
          <w:rFonts w:ascii="Times New Roman" w:hAnsi="Times New Roman" w:eastAsia="Times New Roman"/>
          <w:b/>
          <w:sz w:val="24"/>
        </w:rPr>
        <w:t>Abstract— SynthGuard is a locally deployable multimodal threat-analysis prototype that combines a DistilBERT email classifier, an MFCC-based audio convolutional neural network, and an MTCNN/EfficientNet-B0 video pipeline through a late-fusion rule. The system exposes local FastAPI inference endpoints and a React analyst interface with score and modality-status reporting. Current repository outputs include diagnostic re-scores for email (N=3,508; 94.95% accuracy) and audio (N=500; 98.8% accuracy); both have lineage limitations that prevent unqualified held-out claims. No active-checkpoint video test report or authentic paired-fusion evaluation is available. The earlier 99.1% fusion value is excluded because the historical evaluation pipeline did not use genuinely paired scenarios. The study documents implementation and specifies a group-separated benchmark protocol; it does not establish a general performance advantage.</w:t>
      </w:r>
      <w:r>
        <w:rPr>
          <w:rFonts w:ascii="Times New Roman" w:hAnsi="Times New Roman" w:eastAsia="Times New Roman"/>
          <w:sz w:val="24"/>
        </w:rPr>
      </w:r>
    </w:p>
    <w:p>
      <w:pPr>
        <w:spacing w:line="259" w:lineRule="auto" w:after="100"/>
        <w:jc w:val="both"/>
      </w:pPr>
      <w:r>
        <w:rPr>
          <w:rFonts w:ascii="Times New Roman" w:hAnsi="Times New Roman" w:eastAsia="Times New Roman"/>
          <w:b/>
          <w:sz w:val="24"/>
        </w:rPr>
        <w:t>Index Terms—</w:t>
      </w:r>
      <w:r>
        <w:rPr>
          <w:rFonts w:ascii="Times New Roman" w:hAnsi="Times New Roman" w:eastAsia="Times New Roman"/>
          <w:sz w:val="24"/>
        </w:rPr>
        <w:t>phishing detection, speech spoofing, deepfake video, multimodal fusion, local inference, forensic analysis.</w:t>
      </w:r>
    </w:p>
    <w:p>
      <w:pPr>
        <w:spacing w:line="259" w:lineRule="auto" w:after="100"/>
        <w:sectPr>
          <w:footerReference w:type="default" r:id="rId9"/>
          <w:pgSz w:w="11906" w:h="16838"/>
          <w:pgMar w:top="1008" w:right="1008" w:bottom="1008" w:left="1008" w:header="547" w:footer="504" w:gutter="0"/>
          <w:cols w:space="720"/>
          <w:docGrid w:linePitch="360"/>
          <w:pgBorders w:display="allPages" w:offsetFrom="page">
            <w:top w:val="thickThinMediumGap" w:sz="18" w:space="24" w:color="000000"/>
            <w:left w:val="thickThinMediumGap" w:sz="18" w:space="24" w:color="000000"/>
            <w:bottom w:val="thickThinMediumGap" w:sz="18" w:space="24" w:color="000000"/>
            <w:right w:val="thickThinMediumGap" w:sz="18" w:space="24" w:color="000000"/>
          </w:pgBorders>
        </w:sectPr>
      </w:pPr>
    </w:p>
    <w:p>
      <w:pPr>
        <w:keepNext/>
        <w:spacing w:before="140" w:after="100" w:line="259" w:lineRule="auto"/>
      </w:pPr>
      <w:r>
        <w:rPr>
          <w:rFonts w:ascii="Times New Roman" w:hAnsi="Times New Roman" w:eastAsia="Times New Roman"/>
          <w:b/>
          <w:sz w:val="24"/>
        </w:rPr>
        <w:t>I. INTRODUCTION</w:t>
      </w:r>
    </w:p>
    <w:p>
      <w:pPr>
        <w:spacing w:line="259" w:lineRule="auto" w:after="80"/>
        <w:jc w:val="both"/>
      </w:pPr>
      <w:r>
        <w:rPr>
          <w:rFonts w:ascii="Times New Roman" w:hAnsi="Times New Roman" w:eastAsia="Times New Roman"/>
          <w:sz w:val="24"/>
        </w:rPr>
        <w:t>Business email compromise and synthetic media attacks exploit trust across communication channels. Text, voice, and video detectors observe different evidence, but a combined result is meaningful only when inputs correspond to a coherent scenario and labels reflect the intended threat definition. SynthGuard implements a local prototype that routes email, audio, and video evidence to specialized local models and combines available scores. The research question is whether this architecture can be evaluated reproducibly across unimodal and multimodal subsets; the present artifacts establish implementation, not a general performance advantage.</w:t>
      </w:r>
    </w:p>
    <w:p>
      <w:pPr>
        <w:spacing w:line="259" w:lineRule="auto" w:after="80"/>
        <w:jc w:val="both"/>
      </w:pPr>
      <w:r>
        <w:rPr>
          <w:rFonts w:ascii="Times New Roman" w:hAnsi="Times New Roman" w:eastAsia="Times New Roman"/>
          <w:sz w:val="24"/>
        </w:rPr>
        <w:t>The study makes three limited contributions: a modular inference pipeline; a transparent equal-weight and veto fusion rule; and a validation/test manifest design that preserves scenario and source-group relationships. It does not claim that model outputs are calibrated across modalities or that the veto improves detection rates.</w:t>
      </w:r>
    </w:p>
    <w:p>
      <w:pPr>
        <w:keepNext/>
        <w:spacing w:before="140" w:after="100" w:line="259" w:lineRule="auto"/>
      </w:pPr>
      <w:r>
        <w:rPr>
          <w:rFonts w:ascii="Times New Roman" w:hAnsi="Times New Roman" w:eastAsia="Times New Roman"/>
          <w:b/>
          <w:sz w:val="24"/>
        </w:rPr>
        <w:t>II. RELATED WORK</w:t>
      </w:r>
    </w:p>
    <w:p>
      <w:pPr>
        <w:spacing w:line="259" w:lineRule="auto" w:after="80"/>
        <w:jc w:val="both"/>
      </w:pPr>
      <w:r>
        <w:rPr>
          <w:rFonts w:ascii="Times New Roman" w:hAnsi="Times New Roman" w:eastAsia="Times New Roman"/>
          <w:sz w:val="24"/>
        </w:rPr>
        <w:t>DistilBERT applies knowledge distillation to produce a compact transformer for language tasks [1]. The project uses it for email sequence classification. ASVspoof 2021 defines challenge tracks and evaluation protocols for spoofed and deepfake speech [3]; MFCCs provide the audio model input representation [8]. FaceForensics++ provides manipulated facial videos and compression conditions for video-forgery research [4]. SynthGuard detects faces with MTCNN [6] and classifies face crops with EfficientNet-B0, an architecture designed around compound scaling [5]. These source works establish model and dataset context, not SynthGuard-specific performance.</w:t>
      </w:r>
    </w:p>
    <w:p>
      <w:pPr>
        <w:spacing w:line="259" w:lineRule="auto" w:after="80"/>
        <w:jc w:val="both"/>
      </w:pPr>
      <w:r>
        <w:rPr>
          <w:rFonts w:ascii="Times New Roman" w:hAnsi="Times New Roman" w:eastAsia="Times New Roman"/>
          <w:sz w:val="24"/>
        </w:rPr>
        <w:t>Classifier combination offers a framework for aggregating outputs from distinct representations [7]. SynthGuard uses an uncalibrated normalized mean with a biometric override. This simpler rule is chosen for implementation transparency; its effectiveness must be tested against alternative rules on paired data.</w:t>
      </w:r>
    </w:p>
    <w:p>
      <w:pPr>
        <w:keepNext/>
        <w:spacing w:before="140" w:after="100" w:line="259" w:lineRule="auto"/>
      </w:pPr>
      <w:r>
        <w:rPr>
          <w:rFonts w:ascii="Times New Roman" w:hAnsi="Times New Roman" w:eastAsia="Times New Roman"/>
          <w:b/>
          <w:sz w:val="24"/>
        </w:rPr>
        <w:t>III. SYSTEM AND METHODS</w:t>
      </w:r>
    </w:p>
    <w:p>
      <w:pPr>
        <w:spacing w:line="259" w:lineRule="auto" w:after="80"/>
        <w:jc w:val="both"/>
      </w:pPr>
      <w:r>
        <w:rPr>
          <w:rFonts w:ascii="Times New Roman" w:hAnsi="Times New Roman" w:eastAsia="Times New Roman"/>
          <w:sz w:val="24"/>
        </w:rPr>
        <w:t>The email sensor tokenizes text to 256 tokens and returns the class-1 softmax score. The audio path resamples to 16 kHz, extracts 40 MFCC coefficients with a 2,048-sample FFT and 512-sample hop, and fixes the sequence to 300 frames. A three-stage CNN returns a sigmoid spoof score. The video path samples frames, detects faces with MTCNN, resizes crops to 224×224, scores them with EfficientNet-B0, and averages up to five predictions. A logit shift maps the configured raw calibration threshold to a calibrated score of 0.50.</w:t>
      </w:r>
    </w:p>
    <w:p>
      <w:pPr>
        <w:spacing w:line="259" w:lineRule="auto" w:after="80"/>
        <w:jc w:val="both"/>
      </w:pPr>
      <w:r>
        <w:rPr>
          <w:rFonts w:ascii="Times New Roman" w:hAnsi="Times New Roman" w:eastAsia="Times New Roman"/>
          <w:sz w:val="24"/>
        </w:rPr>
        <w:t>For the available set M of sensors, the fusion score is F = Σ(i∈M) w_i s_i / Σ(i∈M) w_i, where each nominal weight w_i is 0.3333. If an audio or video score is at least 0.85, the veto branch returns max(s_i). The final label is threat when F ≥ 0.50. Missing sensors are excluded and the remaining weights are renormalized. The implementation is in the project fusion module [P2].</w:t>
      </w:r>
    </w:p>
    <w:p>
      <w:pPr>
        <w:spacing w:line="259" w:lineRule="auto" w:after="80"/>
        <w:jc w:val="both"/>
      </w:pPr>
      <w:r>
        <w:rPr>
          <w:rFonts w:ascii="Times New Roman" w:hAnsi="Times New Roman" w:eastAsia="Times New Roman"/>
          <w:sz w:val="24"/>
        </w:rPr>
        <w:t>The email notebook records a cleaned dataset and stratified split; the current email re-score and the older Colab result are separate artifacts and should not be conflated. The current output reports N=3,508 with TP=1,308, TN=2,023, FP=173, FN=4 (94.95% accuracy), but the checkpoint’s training lineage is unknown. The older 98.80% headline conflicts with its archived confusion matrix (98.69%). The audio diagnostic covers 500 randomly split rows but lacks speaker/session grouping and confirmed checkpoint identity. No source-disjoint video test metrics or authentic paired fusion result is reported.</w:t>
      </w:r>
    </w:p>
    <w:p>
      <w:pPr>
        <w:keepNext/>
        <w:spacing w:before="140" w:after="100" w:line="259" w:lineRule="auto"/>
      </w:pPr>
      <w:r>
        <w:rPr>
          <w:rFonts w:ascii="Times New Roman" w:hAnsi="Times New Roman" w:eastAsia="Times New Roman"/>
          <w:b/>
          <w:sz w:val="24"/>
        </w:rPr>
        <w:t>IV. RESULTS AND ANALYSIS</w:t>
      </w:r>
    </w:p>
    <w:p>
      <w:pPr>
        <w:spacing w:line="259" w:lineRule="auto" w:after="80"/>
        <w:jc w:val="both"/>
      </w:pPr>
      <w:r>
        <w:rPr>
          <w:rFonts w:ascii="Times New Roman" w:hAnsi="Times New Roman" w:eastAsia="Times New Roman"/>
          <w:sz w:val="24"/>
        </w:rPr>
        <w:t>The current email diagnostic re-score reports N=3,508 with TP=1,308, TN=2,023, FP=173, and FN=4 at threshold 0.50. These counts imply 94.95% accuracy, 7.88% FPR, and 0.30% FNR. The output includes per-sample predictions and a checkpoint hash, but checkpoint training provenance is unverified. The earlier Colab summary reported 98.80% accuracy while its archived counts imply 98.69%; neither is substituted for the current-checkpoint re-score. On the unclipped 3,507-row subset, FP falls to 172 and accuracy rises to 94.98%, so clipping does not explain the historical gap.</w:t>
      </w:r>
    </w:p>
    <w:p>
      <w:pPr>
        <w:spacing w:line="259" w:lineRule="auto" w:after="80"/>
        <w:jc w:val="both"/>
      </w:pPr>
      <w:r>
        <w:rPr>
          <w:rFonts w:ascii="Times New Roman" w:hAnsi="Times New Roman" w:eastAsia="Times New Roman"/>
          <w:sz w:val="24"/>
        </w:rPr>
        <w:t>The audio re-score reports N=500 (449 spoof, 51 genuine) with TP=448, TN=46, FP=5, and FN=1 at thresholds 0.50 and 0.45. It yields 98.8% accuracy, 9.80% FPR, and 0.22% FNR. Its random sample split lacks speaker/session grouping and its checkpoint identity is not tied to the Colab log, so this is diagnostic only. No source-disjoint video test predictions or authentic paired fusion results are available. The historical ablation CSV is explicitly marked unverified in outputs/reports/README.md and is excluded from performance claims.</w:t>
      </w:r>
    </w:p>
    <w:p>
      <w:pPr>
        <w:keepNext/>
        <w:spacing w:before="140" w:after="100" w:line="259" w:lineRule="auto"/>
      </w:pPr>
      <w:r>
        <w:rPr>
          <w:rFonts w:ascii="Times New Roman" w:hAnsi="Times New Roman" w:eastAsia="Times New Roman"/>
          <w:b/>
          <w:sz w:val="24"/>
        </w:rPr>
        <w:t>V. DISCUSSION AND LIMITATIONS</w:t>
      </w:r>
    </w:p>
    <w:p>
      <w:pPr>
        <w:spacing w:line="259" w:lineRule="auto" w:after="80"/>
        <w:jc w:val="both"/>
      </w:pPr>
      <w:r>
        <w:rPr>
          <w:rFonts w:ascii="Times New Roman" w:hAnsi="Times New Roman" w:eastAsia="Times New Roman"/>
          <w:sz w:val="24"/>
        </w:rPr>
        <w:t>The prototype integrates three local inference paths and exposes modality status to the client. It supports partial evidence, but different sensor subsets have different score distributions and denominators. A normalized mean is not necessarily a calibrated posterior probability, so the 0.50 boundary is an operational rule. The biometric veto can dominate the aggregate and should be assessed for false alarms and missed attacks on independent, source-grouped cases.</w:t>
      </w:r>
    </w:p>
    <w:p>
      <w:pPr>
        <w:spacing w:line="259" w:lineRule="auto" w:after="80"/>
        <w:jc w:val="both"/>
      </w:pPr>
      <w:r>
        <w:rPr>
          <w:rFonts w:ascii="Times New Roman" w:hAnsi="Times New Roman" w:eastAsia="Times New Roman"/>
          <w:sz w:val="24"/>
        </w:rPr>
        <w:t>The email diagnostic uses a saved random stratified split from one public corpus and has unresolved checkpoint lineage; it does not establish temporal or organization-level generalization. The audio reconstruction is random at the row level and lacks source IDs, and the active video checkpoint lacks test metrics. Training split lineage and a common paired BEC scenario set remain incomplete. Results from source datasets cannot be transferred to this system. Deployment is local and offline-capable after dependencies and weights are installed, but the software configuration alone is not proof of a physically isolated or audited environment.</w:t>
      </w:r>
    </w:p>
    <w:p>
      <w:pPr>
        <w:keepNext/>
        <w:spacing w:before="140" w:after="100" w:line="259" w:lineRule="auto"/>
      </w:pPr>
      <w:r>
        <w:rPr>
          <w:rFonts w:ascii="Times New Roman" w:hAnsi="Times New Roman" w:eastAsia="Times New Roman"/>
          <w:b/>
          <w:sz w:val="24"/>
        </w:rPr>
        <w:t>VI. CONCLUSION</w:t>
      </w:r>
    </w:p>
    <w:p>
      <w:pPr>
        <w:spacing w:line="259" w:lineRule="auto" w:after="80"/>
        <w:jc w:val="both"/>
      </w:pPr>
      <w:r>
        <w:rPr>
          <w:rFonts w:ascii="Times New Roman" w:hAnsi="Times New Roman" w:eastAsia="Times New Roman"/>
          <w:sz w:val="24"/>
        </w:rPr>
        <w:t>SynthGuard demonstrates a locally deployable architecture for combining email, speech, and face-video scores in one analyst workflow. The current checkpoint email re-score and reconstructed audio re-score add useful diagnostic detail, but their lineage limitations prevent generalization claims. No active video test metrics or authentic paired fusion evaluation exist. The project therefore does not support the historical 99.1% fusion accuracy claim. Further evaluation should use source-grouped data, validation-only threshold selection, a genuine scenario manifest, per-sample predictions, coverage, uncertainty intervals, and checkpoint hashes.</w:t>
      </w:r>
    </w:p>
    <w:p>
      <w:pPr>
        <w:keepNext/>
        <w:spacing w:before="140" w:after="100" w:line="259" w:lineRule="auto"/>
      </w:pPr>
      <w:r>
        <w:rPr>
          <w:rFonts w:ascii="Times New Roman" w:hAnsi="Times New Roman" w:eastAsia="Times New Roman"/>
          <w:b/>
          <w:sz w:val="24"/>
        </w:rPr>
        <w:t>REFERENCES</w:t>
      </w:r>
    </w:p>
    <w:p>
      <w:pPr>
        <w:spacing w:line="259" w:lineRule="auto" w:after="100"/>
        <w:jc w:val="both"/>
      </w:pPr>
      <w:r>
        <w:rPr>
          <w:rFonts w:ascii="Times New Roman" w:hAnsi="Times New Roman" w:eastAsia="Times New Roman"/>
          <w:sz w:val="24"/>
        </w:rPr>
        <w:t>[1] V. Sanh, L. Debut, J. Chaumond, and T. Wolf, “DistilBERT, a distilled version of BERT: smaller, faster, cheaper and lighter,” arXiv:1910.01108, 2019.</w:t>
      </w:r>
    </w:p>
    <w:p>
      <w:pPr>
        <w:spacing w:line="259" w:lineRule="auto" w:after="100"/>
        <w:jc w:val="both"/>
      </w:pPr>
      <w:r>
        <w:rPr>
          <w:rFonts w:ascii="Times New Roman" w:hAnsi="Times New Roman" w:eastAsia="Times New Roman"/>
          <w:sz w:val="24"/>
        </w:rPr>
        <w:t>[2] Subhajournal, “Phishing Email Dataset,” Kaggle. Available: https://www.kaggle.com/datasets/subhajournal/phishingemails.</w:t>
      </w:r>
    </w:p>
    <w:p>
      <w:pPr>
        <w:spacing w:line="259" w:lineRule="auto" w:after="100"/>
        <w:jc w:val="both"/>
      </w:pPr>
      <w:r>
        <w:rPr>
          <w:rFonts w:ascii="Times New Roman" w:hAnsi="Times New Roman" w:eastAsia="Times New Roman"/>
          <w:sz w:val="24"/>
        </w:rPr>
        <w:t>[3] H. Delgado et al., “ASVspoof 2021: accelerating progress in spoofed and deepfake speech detection,” arXiv:2109.00537, 2021.</w:t>
      </w:r>
    </w:p>
    <w:p>
      <w:pPr>
        <w:spacing w:line="259" w:lineRule="auto" w:after="100"/>
        <w:jc w:val="both"/>
      </w:pPr>
      <w:r>
        <w:rPr>
          <w:rFonts w:ascii="Times New Roman" w:hAnsi="Times New Roman" w:eastAsia="Times New Roman"/>
          <w:sz w:val="24"/>
        </w:rPr>
        <w:t>[4] A. Rössler et al., “FaceForensics++: Learning to Detect Manipulated Facial Images,” in Proc. IEEE/CVF ICCV, 2019, pp. 1–11.</w:t>
      </w:r>
    </w:p>
    <w:p>
      <w:pPr>
        <w:spacing w:line="259" w:lineRule="auto" w:after="100"/>
        <w:jc w:val="both"/>
      </w:pPr>
      <w:r>
        <w:rPr>
          <w:rFonts w:ascii="Times New Roman" w:hAnsi="Times New Roman" w:eastAsia="Times New Roman"/>
          <w:sz w:val="24"/>
        </w:rPr>
        <w:t>[5] M. Tan and Q. Le, “EfficientNet: Rethinking Model Scaling for Convolutional Neural Networks,” in Proc. ICML, PMLR 97, 2019, pp. 6105–6114.</w:t>
      </w:r>
    </w:p>
    <w:p>
      <w:pPr>
        <w:spacing w:line="259" w:lineRule="auto" w:after="100"/>
        <w:jc w:val="both"/>
      </w:pPr>
      <w:r>
        <w:rPr>
          <w:rFonts w:ascii="Times New Roman" w:hAnsi="Times New Roman" w:eastAsia="Times New Roman"/>
          <w:sz w:val="24"/>
        </w:rPr>
        <w:t>[6] K. Zhang, Z. Zhang, Z. Li, and Y. Qiao, “Joint Face Detection and Alignment Using Multitask Cascaded Convolutional Networks,” IEEE Signal Processing Letters, vol. 23, no. 10, pp. 1499–1503, 2016.</w:t>
      </w:r>
    </w:p>
    <w:p>
      <w:pPr>
        <w:spacing w:line="259" w:lineRule="auto" w:after="100"/>
        <w:jc w:val="both"/>
      </w:pPr>
      <w:r>
        <w:rPr>
          <w:rFonts w:ascii="Times New Roman" w:hAnsi="Times New Roman" w:eastAsia="Times New Roman"/>
          <w:sz w:val="24"/>
        </w:rPr>
        <w:t>[7] J. Kittler, M. Hatef, R. P. W. Duin, and J. Matas, “On Combining Classifiers,” IEEE Trans. Pattern Analysis and Machine Intelligence, vol. 20, no. 3, pp. 226–239, 1998.</w:t>
      </w:r>
    </w:p>
    <w:p>
      <w:pPr>
        <w:spacing w:line="259" w:lineRule="auto" w:after="100"/>
        <w:jc w:val="both"/>
      </w:pPr>
      <w:r>
        <w:rPr>
          <w:rFonts w:ascii="Times New Roman" w:hAnsi="Times New Roman" w:eastAsia="Times New Roman"/>
          <w:sz w:val="24"/>
        </w:rPr>
        <w:t>[8] S. B. Davis and P. Mermelstein, “Comparison of parametric representations for monosyllabic word recognition in continuously spoken sentences,” IEEE Trans. Acoustics, Speech, and Signal Processing, vol. 28, no. 4, pp. 357–366, 1980.</w:t>
      </w:r>
    </w:p>
    <w:p>
      <w:pPr>
        <w:spacing w:line="259" w:lineRule="auto" w:after="100"/>
        <w:jc w:val="both"/>
      </w:pPr>
      <w:r>
        <w:rPr>
          <w:rFonts w:ascii="Times New Roman" w:hAnsi="Times New Roman" w:eastAsia="Times New Roman"/>
          <w:sz w:val="24"/>
        </w:rPr>
        <w:t>[P1] SynthGuard project, backend/main.py, local FastAPI inference pipeline and request handling, project repository, 2026.</w:t>
      </w:r>
    </w:p>
    <w:p>
      <w:pPr>
        <w:spacing w:line="259" w:lineRule="auto" w:after="100"/>
        <w:jc w:val="both"/>
      </w:pPr>
      <w:r>
        <w:rPr>
          <w:rFonts w:ascii="Times New Roman" w:hAnsi="Times New Roman" w:eastAsia="Times New Roman"/>
          <w:sz w:val="24"/>
        </w:rPr>
        <w:t>[P2] SynthGuard project, src/fusion.py, score aggregation and biometric veto implementation, project repository, 2026.</w:t>
      </w:r>
    </w:p>
    <w:p>
      <w:pPr>
        <w:spacing w:line="259" w:lineRule="auto" w:after="100"/>
        <w:jc w:val="both"/>
      </w:pPr>
      <w:r>
        <w:rPr>
          <w:rFonts w:ascii="Times New Roman" w:hAnsi="Times New Roman" w:eastAsia="Times New Roman"/>
          <w:sz w:val="24"/>
        </w:rPr>
        <w:t>[P3] SynthGuard project, scripts/run_ablation_study.py and docs/ablation_manifest.md, reproducible paired-scenario benchmark contract, project repository, 2026.</w:t>
      </w:r>
    </w:p>
    <w:p>
      <w:pPr>
        <w:spacing w:line="259" w:lineRule="auto" w:after="100"/>
        <w:jc w:val="both"/>
      </w:pPr>
      <w:r>
        <w:rPr>
          <w:rFonts w:ascii="Times New Roman" w:hAnsi="Times New Roman" w:eastAsia="Times New Roman"/>
          <w:sz w:val="24"/>
        </w:rPr>
        <w:t>[P4] SynthGuard project, docker-compose.yml, backend/Dockerfile, frontend-react/Dockerfile, and docs/docker_deployment.md, local deployment configuration, project repository, 2026.</w:t>
      </w:r>
    </w:p>
    <w:p>
      <w:pPr>
        <w:spacing w:line="259" w:lineRule="auto" w:after="100"/>
        <w:jc w:val="both"/>
      </w:pPr>
      <w:r>
        <w:rPr>
          <w:rFonts w:ascii="Times New Roman" w:hAnsi="Times New Roman" w:eastAsia="Times New Roman"/>
          <w:sz w:val="24"/>
        </w:rPr>
        <w:t>[P5] SynthGuard project, frontend-react/src/lib/reports.ts and frontend-react/src/App.tsx, browser-side report generation and history, project repository, 2026.</w:t>
      </w:r>
    </w:p>
    <w:p>
      <w:pPr>
        <w:spacing w:line="259" w:lineRule="auto" w:after="100"/>
        <w:jc w:val="both"/>
      </w:pPr>
      <w:r>
        <w:rPr>
          <w:rFonts w:ascii="Times New Roman" w:hAnsi="Times New Roman" w:eastAsia="Times New Roman"/>
          <w:sz w:val="24"/>
        </w:rPr>
        <w:t>[P6] SynthGuard project, outputs/reports/classification_report.txt, saved email classification summary, project repository, accessed 18 October 2026.</w:t>
      </w:r>
    </w:p>
    <w:p>
      <w:pPr>
        <w:spacing w:line="259" w:lineRule="auto" w:after="100"/>
        <w:jc w:val="both"/>
      </w:pPr>
      <w:r>
        <w:rPr>
          <w:rFonts w:ascii="Times New Roman" w:hAnsi="Times New Roman" w:eastAsia="Times New Roman"/>
          <w:sz w:val="24"/>
        </w:rPr>
        <w:t>[P7] SynthGuard project, notebooks/01_phishing_email_classifier.ipynb, email dataset cleaning and stratified split, project repository, 2026.</w:t>
      </w:r>
    </w:p>
    <w:p>
      <w:pPr>
        <w:spacing w:line="259" w:lineRule="auto" w:after="100"/>
        <w:jc w:val="both"/>
      </w:pPr>
      <w:r>
        <w:rPr>
          <w:rFonts w:ascii="Times New Roman" w:hAnsi="Times New Roman" w:eastAsia="Times New Roman"/>
          <w:sz w:val="24"/>
        </w:rPr>
        <w:t>[P8] SynthGuard project, outputs/reports/README.md, evaluation-output status and warning about historical ablation values, project repository, 2026.</w:t>
      </w:r>
    </w:p>
    <w:p>
      <w:pPr>
        <w:spacing w:line="259" w:lineRule="auto" w:after="100"/>
        <w:sectPr>
          <w:type w:val="continuous"/>
          <w:pgSz w:w="11906" w:h="16838"/>
          <w:pgMar w:top="1008" w:right="1008" w:bottom="1008" w:left="1008" w:header="547" w:footer="504" w:gutter="0"/>
          <w:cols w:space="420" w:num="2"/>
          <w:docGrid w:linePitch="360"/>
          <w:pgBorders w:display="allPages" w:offsetFrom="page">
            <w:top w:val="thickThinMediumGap" w:sz="18" w:space="24" w:color="000000"/>
            <w:left w:val="thickThinMediumGap" w:sz="18" w:space="24" w:color="000000"/>
            <w:bottom w:val="thickThinMediumGap" w:sz="18" w:space="24" w:color="000000"/>
            <w:right w:val="thickThinMediumGap" w:sz="18" w:space="24" w:color="000000"/>
          </w:pgBorders>
        </w:sectPr>
      </w:pPr>
    </w:p>
    <w:p>
      <w:pPr>
        <w:keepNext/>
        <w:pageBreakBefore/>
        <w:spacing w:after="240" w:line="259" w:lineRule="auto"/>
      </w:pPr>
      <w:r>
        <w:rPr>
          <w:rFonts w:ascii="Times New Roman" w:hAnsi="Times New Roman" w:eastAsia="Times New Roman"/>
          <w:b/>
          <w:color w:val="102C43"/>
          <w:sz w:val="30"/>
        </w:rPr>
        <w:t>CHAPTER 9  PLAGIARISM AND SIMILARITY REPORT</w:t>
      </w:r>
    </w:p>
    <w:p>
      <w:pPr>
        <w:pStyle w:val="Heading2"/>
      </w:pPr>
      <w:r>
        <w:t>9.1 Purpose</w:t>
      </w:r>
    </w:p>
    <w:p>
      <w:pPr>
        <w:spacing w:line="259" w:lineRule="auto" w:after="100"/>
      </w:pPr>
      <w:r>
        <w:rPr>
          <w:rFonts w:ascii="Times New Roman" w:hAnsi="Times New Roman" w:eastAsia="Times New Roman"/>
          <w:i w:val="0"/>
          <w:sz w:val="24"/>
        </w:rPr>
        <w:t>A similarity review should be run on the final text of this report using the checker required by the college. Similarity scores depend on the tool, indexed sources, exclusions, and report settings. A score alone does not determine whether writing is properly attributed.</w:t>
      </w:r>
    </w:p>
    <w:p>
      <w:pPr>
        <w:pStyle w:val="Heading2"/>
      </w:pPr>
      <w:r>
        <w:t>9.2 Checker and Result</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3600"/>
        <w:gridCol w:w="5472"/>
      </w:tblGrid>
      <w:tr>
        <w:trPr>
          <w:tblHeader w:val="true"/>
        </w:trPr>
        <w:tc>
          <w:tcPr>
            <w:tcW w:type="dxa" w:w="4658"/>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Required field</w:t>
            </w:r>
          </w:p>
        </w:tc>
        <w:tc>
          <w:tcPr>
            <w:tcW w:type="dxa" w:w="4658"/>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Status for this report</w:t>
            </w:r>
          </w:p>
        </w:tc>
      </w:tr>
      <w:tr>
        <w:tc>
          <w:tcPr>
            <w:tcW w:type="dxa" w:w="360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Similarity-checking tool</w:t>
            </w:r>
          </w:p>
        </w:tc>
        <w:tc>
          <w:tcPr>
            <w:tcW w:type="dxa" w:w="547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Not provided</w:t>
            </w:r>
          </w:p>
        </w:tc>
      </w:tr>
      <w:tr>
        <w:tc>
          <w:tcPr>
            <w:tcW w:type="dxa" w:w="360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Date and time of check</w:t>
            </w:r>
          </w:p>
        </w:tc>
        <w:tc>
          <w:tcPr>
            <w:tcW w:type="dxa" w:w="547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Pending</w:t>
            </w:r>
          </w:p>
        </w:tc>
      </w:tr>
      <w:tr>
        <w:tc>
          <w:tcPr>
            <w:tcW w:type="dxa" w:w="360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Report identifier or link</w:t>
            </w:r>
          </w:p>
        </w:tc>
        <w:tc>
          <w:tcPr>
            <w:tcW w:type="dxa" w:w="547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Pending</w:t>
            </w:r>
          </w:p>
        </w:tc>
      </w:tr>
      <w:tr>
        <w:tc>
          <w:tcPr>
            <w:tcW w:type="dxa" w:w="360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Overall similarity / matched text</w:t>
            </w:r>
          </w:p>
        </w:tc>
        <w:tc>
          <w:tcPr>
            <w:tcW w:type="dxa" w:w="547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Pending actual checker output</w:t>
            </w:r>
          </w:p>
        </w:tc>
      </w:tr>
      <w:tr>
        <w:tc>
          <w:tcPr>
            <w:tcW w:type="dxa" w:w="360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Excluded bibliography, quotations, or repository sources</w:t>
            </w:r>
          </w:p>
        </w:tc>
        <w:tc>
          <w:tcPr>
            <w:tcW w:type="dxa" w:w="5472"/>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Pending checker settings</w:t>
            </w:r>
          </w:p>
        </w:tc>
      </w:tr>
      <w:tr>
        <w:tc>
          <w:tcPr>
            <w:tcW w:type="dxa" w:w="360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Attached evidence</w:t>
            </w:r>
          </w:p>
        </w:tc>
        <w:tc>
          <w:tcPr>
            <w:tcW w:type="dxa" w:w="5472"/>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Insert the exported similarity report after checking the final document</w:t>
            </w:r>
          </w:p>
        </w:tc>
      </w:tr>
    </w:tbl>
    <w:p>
      <w:pPr>
        <w:spacing w:after="100" w:line="259" w:lineRule="auto"/>
      </w:pPr>
    </w:p>
    <w:p>
      <w:pPr>
        <w:spacing w:line="259" w:lineRule="auto" w:after="100"/>
      </w:pPr>
      <w:r>
        <w:rPr>
          <w:rFonts w:ascii="Times New Roman" w:hAnsi="Times New Roman" w:eastAsia="Times New Roman"/>
          <w:i w:val="0"/>
          <w:sz w:val="24"/>
        </w:rPr>
        <w:t>No SynthGuard similarity percentage is asserted in this draft. The chapter must be completed with the actual report generated from the final version. Do not use the sample projects’ checker screenshots, links, dates, or percentages as SynthGuard results.</w:t>
      </w:r>
    </w:p>
    <w:p>
      <w:pPr>
        <w:pStyle w:val="Heading2"/>
      </w:pPr>
      <w:r>
        <w:t>9.3 Review Procedure</w:t>
      </w:r>
    </w:p>
    <w:p>
      <w:pPr>
        <w:spacing w:after="100" w:line="259" w:lineRule="auto"/>
        <w:ind w:left="432" w:hanging="216"/>
      </w:pPr>
      <w:r>
        <w:rPr>
          <w:rFonts w:ascii="Times New Roman" w:hAnsi="Times New Roman" w:eastAsia="Times New Roman"/>
          <w:sz w:val="24"/>
        </w:rPr>
        <w:t>1. Submit the final report using the institution-approved similarity checker.</w:t>
      </w:r>
    </w:p>
    <w:p>
      <w:pPr>
        <w:spacing w:after="100" w:line="259" w:lineRule="auto"/>
        <w:ind w:left="432" w:hanging="216"/>
      </w:pPr>
      <w:r>
        <w:rPr>
          <w:rFonts w:ascii="Times New Roman" w:hAnsi="Times New Roman" w:eastAsia="Times New Roman"/>
          <w:sz w:val="24"/>
        </w:rPr>
        <w:t>2. Save the complete report showing the document identity, check date, settings, and matched sources.</w:t>
      </w:r>
    </w:p>
    <w:p>
      <w:pPr>
        <w:spacing w:after="100" w:line="259" w:lineRule="auto"/>
        <w:ind w:left="432" w:hanging="216"/>
      </w:pPr>
      <w:r>
        <w:rPr>
          <w:rFonts w:ascii="Times New Roman" w:hAnsi="Times New Roman" w:eastAsia="Times New Roman"/>
          <w:sz w:val="24"/>
        </w:rPr>
        <w:t>3. Review each matched passage and add or correct citations where required.</w:t>
      </w:r>
    </w:p>
    <w:p>
      <w:pPr>
        <w:spacing w:after="100" w:line="259" w:lineRule="auto"/>
        <w:ind w:left="432" w:hanging="216"/>
      </w:pPr>
      <w:r>
        <w:rPr>
          <w:rFonts w:ascii="Times New Roman" w:hAnsi="Times New Roman" w:eastAsia="Times New Roman"/>
          <w:sz w:val="24"/>
        </w:rPr>
        <w:t>4. Replace this page with the actual report summary and attach the checker output as an appendix if required by the department.</w:t>
      </w:r>
    </w:p>
    <w:p>
      <w:pPr>
        <w:keepNext/>
        <w:pageBreakBefore/>
        <w:spacing w:after="240" w:line="259" w:lineRule="auto"/>
      </w:pPr>
      <w:r>
        <w:rPr>
          <w:rFonts w:ascii="Times New Roman" w:hAnsi="Times New Roman" w:eastAsia="Times New Roman"/>
          <w:b/>
          <w:color w:val="102C43"/>
          <w:sz w:val="30"/>
        </w:rPr>
        <w:t>CHAPTER 10  CONCLUSION LIMITATIONS AND FUTURE SCOPE</w:t>
      </w:r>
    </w:p>
    <w:p>
      <w:pPr>
        <w:pStyle w:val="Heading2"/>
      </w:pPr>
      <w:r>
        <w:t>10.1 Conclusion</w:t>
      </w:r>
    </w:p>
    <w:p>
      <w:pPr>
        <w:spacing w:line="259" w:lineRule="auto" w:after="100"/>
      </w:pPr>
      <w:r>
        <w:rPr>
          <w:rFonts w:ascii="Times New Roman" w:hAnsi="Times New Roman" w:eastAsia="Times New Roman"/>
          <w:i w:val="0"/>
          <w:sz w:val="24"/>
        </w:rPr>
        <w:t>SynthGuard integrates local text, audio, and video analysis in a single threat-investigation workflow. DistilBERT, an MFCC-based CNN, and an MTCNN/EfficientNet-B0 pipeline return separate scores. FastAPI standardizes requests and status; the React interface supports multimodal submission, report history, and local PDF export. A normalized equal-weight rule and an audio/video veto form the final score. These are implementation facts supported by the current codebase.</w:t>
      </w:r>
    </w:p>
    <w:p>
      <w:pPr>
        <w:spacing w:line="259" w:lineRule="auto" w:after="100"/>
      </w:pPr>
      <w:r>
        <w:rPr>
          <w:rFonts w:ascii="Times New Roman" w:hAnsi="Times New Roman" w:eastAsia="Times New Roman"/>
          <w:i w:val="0"/>
          <w:sz w:val="24"/>
        </w:rPr>
        <w:t>The saved email report records 98.8% accuracy on 3,508 test samples, but archived confusion counts imply 98.69%, so the exact score remains unresolved. The repository does not include completed held-out metric outputs for audio, video, or multimodal fusion. Consequently, the report does not claim 99.1% fusion accuracy or sub-one-percent false-negative performance. The prototype’s main validated contribution at this stage is a functioning software architecture and a reproducibility plan for further testing.</w:t>
      </w:r>
    </w:p>
    <w:p>
      <w:pPr>
        <w:pStyle w:val="Heading2"/>
      </w:pPr>
      <w:r>
        <w:t>10.2 Limitations</w:t>
      </w:r>
    </w:p>
    <w:p>
      <w:pPr>
        <w:pStyle w:val="ListBullet"/>
        <w:spacing w:after="60"/>
        <w:ind w:left="432" w:hanging="216"/>
      </w:pPr>
      <w:r>
        <w:rPr>
          <w:rFonts w:ascii="Times New Roman" w:hAnsi="Times New Roman" w:eastAsia="Times New Roman"/>
          <w:sz w:val="24"/>
        </w:rPr>
        <w:t>The email result lacks a prediction-level export and has a discrepancy between the saved headline accuracy and archived confusion counts.</w:t>
      </w:r>
    </w:p>
    <w:p>
      <w:pPr>
        <w:pStyle w:val="ListBullet"/>
        <w:spacing w:after="60"/>
        <w:ind w:left="432" w:hanging="216"/>
      </w:pPr>
      <w:r>
        <w:rPr>
          <w:rFonts w:ascii="Times New Roman" w:hAnsi="Times New Roman" w:eastAsia="Times New Roman"/>
          <w:sz w:val="24"/>
        </w:rPr>
        <w:t>Audio and video performance summaries, split lineage, and threshold-selection artifacts are not present in the reviewed repository snapshot.</w:t>
      </w:r>
    </w:p>
    <w:p>
      <w:pPr>
        <w:pStyle w:val="ListBullet"/>
        <w:spacing w:after="60"/>
        <w:ind w:left="432" w:hanging="216"/>
      </w:pPr>
      <w:r>
        <w:rPr>
          <w:rFonts w:ascii="Times New Roman" w:hAnsi="Times New Roman" w:eastAsia="Times New Roman"/>
          <w:sz w:val="24"/>
        </w:rPr>
        <w:t>No completed paired multimodal manifest or ablation output exists, so fusion gains are not empirically established.</w:t>
      </w:r>
    </w:p>
    <w:p>
      <w:pPr>
        <w:pStyle w:val="ListBullet"/>
        <w:spacing w:after="60"/>
        <w:ind w:left="432" w:hanging="216"/>
      </w:pPr>
      <w:r>
        <w:rPr>
          <w:rFonts w:ascii="Times New Roman" w:hAnsi="Times New Roman" w:eastAsia="Times New Roman"/>
          <w:sz w:val="24"/>
        </w:rPr>
        <w:t>The email random split does not measure temporal or organization-level generalization; corpus labels and sources may include biases or duplicates after text normalization.</w:t>
      </w:r>
    </w:p>
    <w:p>
      <w:pPr>
        <w:pStyle w:val="ListBullet"/>
        <w:spacing w:after="60"/>
        <w:ind w:left="432" w:hanging="216"/>
      </w:pPr>
      <w:r>
        <w:rPr>
          <w:rFonts w:ascii="Times New Roman" w:hAnsi="Times New Roman" w:eastAsia="Times New Roman"/>
          <w:sz w:val="24"/>
        </w:rPr>
        <w:t>The three model scores are combined as if they were comparable probabilities, although calibration across sensors has not been documented.</w:t>
      </w:r>
    </w:p>
    <w:p>
      <w:pPr>
        <w:pStyle w:val="ListBullet"/>
        <w:spacing w:after="60"/>
        <w:ind w:left="432" w:hanging="216"/>
      </w:pPr>
      <w:r>
        <w:rPr>
          <w:rFonts w:ascii="Times New Roman" w:hAnsi="Times New Roman" w:eastAsia="Times New Roman"/>
          <w:sz w:val="24"/>
        </w:rPr>
        <w:t>Video performance depends on face visibility, selected frames, compression, and manipulation types represented by training data.</w:t>
      </w:r>
    </w:p>
    <w:p>
      <w:pPr>
        <w:pStyle w:val="ListBullet"/>
        <w:spacing w:after="60"/>
        <w:ind w:left="432" w:hanging="216"/>
      </w:pPr>
      <w:r>
        <w:rPr>
          <w:rFonts w:ascii="Times New Roman" w:hAnsi="Times New Roman" w:eastAsia="Times New Roman"/>
          <w:sz w:val="24"/>
        </w:rPr>
        <w:t>The Docker configuration supports local inference after setup but does not alone certify a physically air-gapped environment or an external security audit.</w:t>
      </w:r>
    </w:p>
    <w:p>
      <w:pPr>
        <w:pStyle w:val="ListBullet"/>
        <w:spacing w:after="60"/>
        <w:ind w:left="432" w:hanging="216"/>
      </w:pPr>
      <w:r>
        <w:rPr>
          <w:rFonts w:ascii="Times New Roman" w:hAnsi="Times New Roman" w:eastAsia="Times New Roman"/>
          <w:sz w:val="24"/>
        </w:rPr>
        <w:t>Browser localStorage is local to a browser profile and can be cleared; it is not a server-backed audit database.</w:t>
      </w:r>
    </w:p>
    <w:p>
      <w:pPr>
        <w:pStyle w:val="Heading2"/>
      </w:pPr>
      <w:r>
        <w:t>10.3 Future Scope</w:t>
      </w:r>
    </w:p>
    <w:p>
      <w:pPr>
        <w:spacing w:after="100" w:line="259" w:lineRule="auto"/>
        <w:ind w:left="432" w:hanging="216"/>
      </w:pPr>
      <w:r>
        <w:rPr>
          <w:rFonts w:ascii="Times New Roman" w:hAnsi="Times New Roman" w:eastAsia="Times New Roman"/>
          <w:sz w:val="24"/>
        </w:rPr>
        <w:t>1. Recompute the email test predictions from the saved checkpoint and publish the per-example labels, confusion matrix, exact metrics, and checkpoint hash.</w:t>
      </w:r>
    </w:p>
    <w:p>
      <w:pPr>
        <w:spacing w:after="100" w:line="259" w:lineRule="auto"/>
        <w:ind w:left="432" w:hanging="216"/>
      </w:pPr>
      <w:r>
        <w:rPr>
          <w:rFonts w:ascii="Times New Roman" w:hAnsi="Times New Roman" w:eastAsia="Times New Roman"/>
          <w:sz w:val="24"/>
        </w:rPr>
        <w:t>2. Record the ASVspoof and FaceForensics++ split manifests, source groups, training logs, calibration procedure, and held-out predictions for the current audio and video checkpoints.</w:t>
      </w:r>
    </w:p>
    <w:p>
      <w:pPr>
        <w:spacing w:after="100" w:line="259" w:lineRule="auto"/>
        <w:ind w:left="432" w:hanging="216"/>
      </w:pPr>
      <w:r>
        <w:rPr>
          <w:rFonts w:ascii="Times New Roman" w:hAnsi="Times New Roman" w:eastAsia="Times New Roman"/>
          <w:sz w:val="24"/>
        </w:rPr>
        <w:t>3. Construct and independently label a sufficiently large scenario-level paired test set. Keep actors, campaigns, source videos, and related records within a single split.</w:t>
      </w:r>
    </w:p>
    <w:p>
      <w:pPr>
        <w:spacing w:after="100" w:line="259" w:lineRule="auto"/>
        <w:ind w:left="432" w:hanging="216"/>
      </w:pPr>
      <w:r>
        <w:rPr>
          <w:rFonts w:ascii="Times New Roman" w:hAnsi="Times New Roman" w:eastAsia="Times New Roman"/>
          <w:sz w:val="24"/>
        </w:rPr>
        <w:t>4. Evaluate all seven non-empty sensor subsets with the same scenario labels and report coverage, TP/TN/FP/FN, precision, recall, FPR, FNR, confidence intervals, and runtime.</w:t>
      </w:r>
    </w:p>
    <w:p>
      <w:pPr>
        <w:spacing w:after="100" w:line="259" w:lineRule="auto"/>
        <w:ind w:left="432" w:hanging="216"/>
      </w:pPr>
      <w:r>
        <w:rPr>
          <w:rFonts w:ascii="Times New Roman" w:hAnsi="Times New Roman" w:eastAsia="Times New Roman"/>
          <w:sz w:val="24"/>
        </w:rPr>
        <w:t>5. Compare equal-weight fusion and the veto rule against unimodal and alternative fusion baselines without selecting thresholds on test data.</w:t>
      </w:r>
    </w:p>
    <w:p>
      <w:pPr>
        <w:spacing w:after="100" w:line="259" w:lineRule="auto"/>
        <w:ind w:left="432" w:hanging="216"/>
      </w:pPr>
      <w:r>
        <w:rPr>
          <w:rFonts w:ascii="Times New Roman" w:hAnsi="Times New Roman" w:eastAsia="Times New Roman"/>
          <w:sz w:val="24"/>
        </w:rPr>
        <w:t>6. Assess sensor-score calibration, missing-modality behavior, and robustness under compression, noise, domain shift, and benign high-risk language.</w:t>
      </w:r>
    </w:p>
    <w:p>
      <w:pPr>
        <w:spacing w:after="100" w:line="259" w:lineRule="auto"/>
        <w:ind w:left="432" w:hanging="216"/>
      </w:pPr>
      <w:r>
        <w:rPr>
          <w:rFonts w:ascii="Times New Roman" w:hAnsi="Times New Roman" w:eastAsia="Times New Roman"/>
          <w:sz w:val="24"/>
        </w:rPr>
        <w:t>7. Complete the approved similarity review and update certificate, guide, and submission details before final academic submission.</w:t>
      </w:r>
    </w:p>
    <w:p>
      <w:pPr>
        <w:keepNext/>
        <w:pageBreakBefore/>
        <w:spacing w:after="240" w:line="259" w:lineRule="auto"/>
      </w:pPr>
      <w:r>
        <w:rPr>
          <w:rFonts w:ascii="Times New Roman" w:hAnsi="Times New Roman" w:eastAsia="Times New Roman"/>
          <w:b/>
          <w:color w:val="102C43"/>
          <w:sz w:val="30"/>
        </w:rPr>
        <w:t>CHAPTER 11  REFERENCES AND BIBLIOGRAPHY</w:t>
      </w:r>
    </w:p>
    <w:p>
      <w:pPr>
        <w:spacing w:after="100" w:line="259" w:lineRule="auto"/>
        <w:ind w:left="403" w:hanging="403"/>
        <w:jc w:val="both"/>
      </w:pPr>
      <w:r>
        <w:rPr>
          <w:rFonts w:ascii="Times New Roman" w:hAnsi="Times New Roman" w:eastAsia="Times New Roman"/>
          <w:sz w:val="24"/>
        </w:rPr>
        <w:t>[1] V. Sanh, L. Debut, J. Chaumond, and T. Wolf, “DistilBERT, a distilled version of BERT: smaller, faster, cheaper and lighter,” arXiv:1910.01108, 2019. https://arxiv.org/abs/1910.01108.</w:t>
      </w:r>
    </w:p>
    <w:p>
      <w:pPr>
        <w:spacing w:after="100" w:line="259" w:lineRule="auto"/>
        <w:ind w:left="403" w:hanging="403"/>
        <w:jc w:val="both"/>
      </w:pPr>
      <w:r>
        <w:rPr>
          <w:rFonts w:ascii="Times New Roman" w:hAnsi="Times New Roman" w:eastAsia="Times New Roman"/>
          <w:sz w:val="24"/>
        </w:rPr>
        <w:t>[2] Subhajournal, “Phishing Email Dataset,” Kaggle. https://www.kaggle.com/datasets/subhajournal/phishingemails.</w:t>
      </w:r>
    </w:p>
    <w:p>
      <w:pPr>
        <w:spacing w:after="100" w:line="259" w:lineRule="auto"/>
        <w:ind w:left="403" w:hanging="403"/>
        <w:jc w:val="both"/>
      </w:pPr>
      <w:r>
        <w:rPr>
          <w:rFonts w:ascii="Times New Roman" w:hAnsi="Times New Roman" w:eastAsia="Times New Roman"/>
          <w:sz w:val="24"/>
        </w:rPr>
        <w:t>[3] H. Delgado, N. Evans, T. Kinnunen, K. A. Lee, X. Liu, A. Nautsch, J. Patino, M. Sahidullah, M. Todisco, X. Wang, and J. Yamagishi, “ASVspoof 2021: accelerating progress in spoofed and deepfake speech detection,” arXiv:2109.00537, 2021. https://arxiv.org/abs/2109.00537.</w:t>
      </w:r>
    </w:p>
    <w:p>
      <w:pPr>
        <w:spacing w:after="100" w:line="259" w:lineRule="auto"/>
        <w:ind w:left="403" w:hanging="403"/>
        <w:jc w:val="both"/>
      </w:pPr>
      <w:r>
        <w:rPr>
          <w:rFonts w:ascii="Times New Roman" w:hAnsi="Times New Roman" w:eastAsia="Times New Roman"/>
          <w:sz w:val="24"/>
        </w:rPr>
        <w:t>[4] A. Rössler et al., “FaceForensics++: Learning to Detect Manipulated Facial Images,” in Proc. IEEE/CVF International Conference on Computer Vision (ICCV), 2019. https://openaccess.thecvf.com/content_ICCV_2019/html/Rossler_FaceForensics_Learning_to_Detect_Manipulated_Facial_Images_ICCV_2019_paper.html.</w:t>
      </w:r>
    </w:p>
    <w:p>
      <w:pPr>
        <w:spacing w:after="100" w:line="259" w:lineRule="auto"/>
        <w:ind w:left="403" w:hanging="403"/>
        <w:jc w:val="both"/>
      </w:pPr>
      <w:r>
        <w:rPr>
          <w:rFonts w:ascii="Times New Roman" w:hAnsi="Times New Roman" w:eastAsia="Times New Roman"/>
          <w:sz w:val="24"/>
        </w:rPr>
        <w:t>[5] M. Tan and Q. V. Le, “EfficientNet: Rethinking Model Scaling for Convolutional Neural Networks,” in Proc. 36th International Conference on Machine Learning, PMLR, vol. 97, pp. 6105–6114, 2019. https://proceedings.mlr.press/v97/tan19a.html.</w:t>
      </w:r>
    </w:p>
    <w:p>
      <w:pPr>
        <w:spacing w:after="100" w:line="259" w:lineRule="auto"/>
        <w:ind w:left="403" w:hanging="403"/>
        <w:jc w:val="both"/>
      </w:pPr>
      <w:r>
        <w:rPr>
          <w:rFonts w:ascii="Times New Roman" w:hAnsi="Times New Roman" w:eastAsia="Times New Roman"/>
          <w:sz w:val="24"/>
        </w:rPr>
        <w:t>[6] K. Zhang, Z. Zhang, Z. Li, and Y. Qiao, “Joint Face Detection and Alignment Using Multitask Cascaded Convolutional Networks,” IEEE Signal Processing Letters, vol. 23, no. 10, pp. 1499–1503, 2016. doi:10.1109/LSP.2016.2603342.</w:t>
      </w:r>
    </w:p>
    <w:p>
      <w:pPr>
        <w:spacing w:after="100" w:line="259" w:lineRule="auto"/>
        <w:ind w:left="403" w:hanging="403"/>
        <w:jc w:val="both"/>
      </w:pPr>
      <w:r>
        <w:rPr>
          <w:rFonts w:ascii="Times New Roman" w:hAnsi="Times New Roman" w:eastAsia="Times New Roman"/>
          <w:sz w:val="24"/>
        </w:rPr>
        <w:t>[7] J. Kittler, M. Hatef, R. P. W. Duin, and J. Matas, “On Combining Classifiers,” IEEE Transactions on Pattern Analysis and Machine Intelligence, vol. 20, no. 3, pp. 226–239, 1998.</w:t>
      </w:r>
    </w:p>
    <w:p>
      <w:pPr>
        <w:spacing w:after="100" w:line="259" w:lineRule="auto"/>
        <w:ind w:left="403" w:hanging="403"/>
        <w:jc w:val="both"/>
      </w:pPr>
      <w:r>
        <w:rPr>
          <w:rFonts w:ascii="Times New Roman" w:hAnsi="Times New Roman" w:eastAsia="Times New Roman"/>
          <w:sz w:val="24"/>
        </w:rPr>
        <w:t>[8] S. B. Davis and P. Mermelstein, “Comparison of parametric representations for monosyllabic word recognition in continuously spoken sentences,” IEEE Transactions on Acoustics, Speech, and Signal Processing, vol. 28, no. 4, pp. 357–366, 1980. doi:10.1109/TASSP.1980.1163420.</w:t>
      </w:r>
    </w:p>
    <w:p>
      <w:pPr>
        <w:spacing w:after="100" w:line="259" w:lineRule="auto"/>
        <w:ind w:left="403" w:hanging="403"/>
        <w:jc w:val="both"/>
      </w:pPr>
      <w:r>
        <w:rPr>
          <w:rFonts w:ascii="Times New Roman" w:hAnsi="Times New Roman" w:eastAsia="Times New Roman"/>
          <w:sz w:val="24"/>
        </w:rPr>
        <w:t>[9] SynthGuard project repository, backend/main.py, local inference and API implementation, accessed 18 October 2026.</w:t>
      </w:r>
    </w:p>
    <w:p>
      <w:pPr>
        <w:spacing w:after="100" w:line="259" w:lineRule="auto"/>
        <w:ind w:left="403" w:hanging="403"/>
        <w:jc w:val="both"/>
      </w:pPr>
      <w:r>
        <w:rPr>
          <w:rFonts w:ascii="Times New Roman" w:hAnsi="Times New Roman" w:eastAsia="Times New Roman"/>
          <w:sz w:val="24"/>
        </w:rPr>
        <w:t>[10] SynthGuard project repository, src/fusion.py, equal-weight score fusion and biometric veto, accessed 18 October 2026.</w:t>
      </w:r>
    </w:p>
    <w:p>
      <w:pPr>
        <w:spacing w:after="100" w:line="259" w:lineRule="auto"/>
        <w:ind w:left="403" w:hanging="403"/>
        <w:jc w:val="both"/>
      </w:pPr>
      <w:r>
        <w:rPr>
          <w:rFonts w:ascii="Times New Roman" w:hAnsi="Times New Roman" w:eastAsia="Times New Roman"/>
          <w:sz w:val="24"/>
        </w:rPr>
        <w:t>[11] SynthGuard project repository, outputs/reports/classification_report.txt and notebooks/01_phishing_email_classifier.ipynb, email evaluation artifacts, accessed 18 October 2026.</w:t>
      </w:r>
    </w:p>
    <w:p>
      <w:pPr>
        <w:spacing w:after="100" w:line="259" w:lineRule="auto"/>
        <w:ind w:left="403" w:hanging="403"/>
        <w:jc w:val="both"/>
      </w:pPr>
      <w:r>
        <w:rPr>
          <w:rFonts w:ascii="Times New Roman" w:hAnsi="Times New Roman" w:eastAsia="Times New Roman"/>
          <w:sz w:val="24"/>
        </w:rPr>
        <w:t>[12] SynthGuard project repository, scripts/run_ablation_study.py and docs/ablation_manifest.md, paired-scenario benchmark design, accessed 18 October 2026.</w:t>
      </w:r>
    </w:p>
    <w:p>
      <w:pPr>
        <w:spacing w:after="100" w:line="259" w:lineRule="auto"/>
        <w:ind w:left="403" w:hanging="403"/>
        <w:jc w:val="both"/>
      </w:pPr>
      <w:r>
        <w:rPr>
          <w:rFonts w:ascii="Times New Roman" w:hAnsi="Times New Roman" w:eastAsia="Times New Roman"/>
          <w:sz w:val="24"/>
        </w:rPr>
        <w:t>[13] SynthGuard project repository, frontend-react/src/lib/reports.ts, client-side history and PDF report generation, accessed 18 October 2026.</w:t>
      </w:r>
    </w:p>
    <w:p>
      <w:pPr>
        <w:spacing w:after="100" w:line="259" w:lineRule="auto"/>
        <w:ind w:left="403" w:hanging="403"/>
        <w:jc w:val="both"/>
      </w:pPr>
      <w:r>
        <w:rPr>
          <w:rFonts w:ascii="Times New Roman" w:hAnsi="Times New Roman" w:eastAsia="Times New Roman"/>
          <w:sz w:val="24"/>
        </w:rPr>
        <w:t>[14] SynthGuard project repository, docs/docker_deployment.md and docker-compose.yml, local container deployment configuration, accessed 18 October 2026.</w:t>
      </w:r>
    </w:p>
    <w:p>
      <w:pPr>
        <w:keepNext/>
        <w:pageBreakBefore/>
        <w:spacing w:after="240" w:line="259" w:lineRule="auto"/>
      </w:pPr>
      <w:r>
        <w:rPr>
          <w:rFonts w:ascii="Times New Roman" w:hAnsi="Times New Roman" w:eastAsia="Times New Roman"/>
          <w:b/>
          <w:color w:val="102C43"/>
          <w:sz w:val="30"/>
        </w:rPr>
        <w:t>CHAPTER 12  APPENDICES</w:t>
      </w:r>
    </w:p>
    <w:p>
      <w:pPr>
        <w:pStyle w:val="Heading2"/>
      </w:pPr>
      <w:r>
        <w:rPr>
          <w:rFonts w:ascii="Times New Roman" w:hAnsi="Times New Roman" w:eastAsia="Times New Roman"/>
        </w:rPr>
        <w:t>Appendix A Dataset and Model Artifacts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088"/>
        <w:gridCol w:w="3744"/>
        <w:gridCol w:w="3240"/>
      </w:tblGrid>
      <w:tr>
        <w:trPr>
          <w:tblHeader w:val="true"/>
        </w:trPr>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Artifact</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Project location</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Role</w:t>
            </w:r>
          </w:p>
        </w:tc>
      </w:tr>
      <w:tr>
        <w:tc>
          <w:tcPr>
            <w:tcW w:type="dxa" w:w="2088"/>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 checkpoint</w:t>
            </w:r>
          </w:p>
        </w:tc>
        <w:tc>
          <w:tcPr>
            <w:tcW w:type="dxa" w:w="37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models/final/phishing_email/</w:t>
            </w:r>
          </w:p>
        </w:tc>
        <w:tc>
          <w:tcPr>
            <w:tcW w:type="dxa" w:w="324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DistilBERT model and tokenizer.</w:t>
            </w:r>
          </w:p>
        </w:tc>
      </w:tr>
      <w:tr>
        <w:tc>
          <w:tcPr>
            <w:tcW w:type="dxa" w:w="2088"/>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Audio checkpoint</w:t>
            </w:r>
          </w:p>
        </w:tc>
        <w:tc>
          <w:tcPr>
            <w:tcW w:type="dxa" w:w="374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models/final/audio_detector/audio_cnn_model.pth</w:t>
            </w:r>
          </w:p>
        </w:tc>
        <w:tc>
          <w:tcPr>
            <w:tcW w:type="dxa" w:w="324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MFCC-based CNN weights.</w:t>
            </w:r>
          </w:p>
        </w:tc>
      </w:tr>
      <w:tr>
        <w:tc>
          <w:tcPr>
            <w:tcW w:type="dxa" w:w="2088"/>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Video checkpoints</w:t>
            </w:r>
          </w:p>
        </w:tc>
        <w:tc>
          <w:tcPr>
            <w:tcW w:type="dxa" w:w="37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models/final/video_detector/</w:t>
            </w:r>
          </w:p>
        </w:tc>
        <w:tc>
          <w:tcPr>
            <w:tcW w:type="dxa" w:w="324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EfficientNet-B0 weights and legacy backup/calibration context.</w:t>
            </w:r>
          </w:p>
        </w:tc>
      </w:tr>
      <w:tr>
        <w:tc>
          <w:tcPr>
            <w:tcW w:type="dxa" w:w="2088"/>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 dataset split</w:t>
            </w:r>
          </w:p>
        </w:tc>
        <w:tc>
          <w:tcPr>
            <w:tcW w:type="dxa" w:w="374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data/train_dataset.pkl; data/test_dataset.pkl</w:t>
            </w:r>
          </w:p>
        </w:tc>
        <w:tc>
          <w:tcPr>
            <w:tcW w:type="dxa" w:w="324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 text and labels from the recorded split.</w:t>
            </w:r>
          </w:p>
        </w:tc>
      </w:tr>
      <w:tr>
        <w:tc>
          <w:tcPr>
            <w:tcW w:type="dxa" w:w="2088"/>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Audio features</w:t>
            </w:r>
          </w:p>
        </w:tc>
        <w:tc>
          <w:tcPr>
            <w:tcW w:type="dxa" w:w="37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data/audio_features_part_*.pkl</w:t>
            </w:r>
          </w:p>
        </w:tc>
        <w:tc>
          <w:tcPr>
            <w:tcW w:type="dxa" w:w="324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Preprocessed audio feature chunks; split lineage requires documentation.</w:t>
            </w:r>
          </w:p>
        </w:tc>
      </w:tr>
      <w:tr>
        <w:tc>
          <w:tcPr>
            <w:tcW w:type="dxa" w:w="2088"/>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Video training chunks</w:t>
            </w:r>
          </w:p>
        </w:tc>
        <w:tc>
          <w:tcPr>
            <w:tcW w:type="dxa" w:w="374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colab_export/ffpp_chunk_*.pkl</w:t>
            </w:r>
          </w:p>
        </w:tc>
        <w:tc>
          <w:tcPr>
            <w:tcW w:type="dxa" w:w="324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Prepared video face tensors and labels; split lineage requires documentation.</w:t>
            </w:r>
          </w:p>
        </w:tc>
      </w:tr>
      <w:tr>
        <w:tc>
          <w:tcPr>
            <w:tcW w:type="dxa" w:w="2088"/>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 report</w:t>
            </w:r>
          </w:p>
        </w:tc>
        <w:tc>
          <w:tcPr>
            <w:tcW w:type="dxa" w:w="3744"/>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outputs/reports/classification_report.txt</w:t>
            </w:r>
          </w:p>
        </w:tc>
        <w:tc>
          <w:tcPr>
            <w:tcW w:type="dxa" w:w="3240"/>
            <w:vAlign w:val="center"/>
            <w:tcMar>
              <w:top w:w="80" w:type="dxa"/>
              <w:start w:w="95" w:type="dxa"/>
              <w:bottom w:w="80" w:type="dxa"/>
              <w:end w:w="95" w:type="dxa"/>
            </w:tcMar>
          </w:tcPr>
          <w:p>
            <w:pPr>
              <w:spacing w:after="40" w:line="240" w:lineRule="auto"/>
            </w:pPr>
            <w:r>
              <w:rPr>
                <w:rFonts w:ascii="Times New Roman" w:hAnsi="Times New Roman" w:eastAsia="Times New Roman"/>
                <w:sz w:val="24"/>
              </w:rPr>
              <w:t>Current-checkpoint diagnostic metrics and per-example predictions; training lineage remains unverified.</w:t>
            </w:r>
          </w:p>
        </w:tc>
      </w:tr>
      <w:tr>
        <w:tc>
          <w:tcPr>
            <w:tcW w:type="dxa" w:w="2088"/>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Benchmark runner</w:t>
            </w:r>
          </w:p>
        </w:tc>
        <w:tc>
          <w:tcPr>
            <w:tcW w:type="dxa" w:w="3744"/>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scripts/run_ablation_study.py</w:t>
            </w:r>
          </w:p>
        </w:tc>
        <w:tc>
          <w:tcPr>
            <w:tcW w:type="dxa" w:w="324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Paired-scenario evaluation and result export tool.</w:t>
            </w:r>
          </w:p>
        </w:tc>
      </w:tr>
    </w:tbl>
    <w:p>
      <w:pPr>
        <w:spacing w:after="100" w:line="259" w:lineRule="auto"/>
      </w:pPr>
    </w:p>
    <w:p>
      <w:pPr>
        <w:spacing w:line="259" w:lineRule="auto" w:after="100"/>
      </w:pPr>
      <w:r>
        <w:rPr>
          <w:rFonts w:ascii="Times New Roman" w:hAnsi="Times New Roman" w:eastAsia="Times New Roman"/>
          <w:i w:val="0"/>
          <w:sz w:val="24"/>
        </w:rPr>
        <w:t>Local artifact presence is not proof that a dataset was used only in training or only in testing. The sample manifest, checkpoint and split records should be retained together with hash values for a reproducible evaluation.</w:t>
      </w:r>
    </w:p>
    <w:p>
      <w:pPr>
        <w:pStyle w:val="Heading2"/>
      </w:pPr>
      <w:r>
        <w:rPr>
          <w:rFonts w:ascii="Times New Roman" w:hAnsi="Times New Roman" w:eastAsia="Times New Roman"/>
        </w:rPr>
        <w:t>Appendix B Operational Thresholds</w:t>
      </w:r>
    </w:p>
    <w:tbl>
      <w:tblPr>
        <w:tblW w:type="auto" w:w="0"/>
        <w:jc w:val="center"/>
        <w:tblLayout w:type="fixed"/>
        <w:tblLook w:firstColumn="1" w:firstRow="1" w:lastColumn="0" w:lastRow="0" w:noHBand="0" w:noVBand="1" w:val="04A0"/>
        <w:tblBorders>
          <w:top w:val="single" w:sz="5" w:space="0" w:color="9BAABA"/>
          <w:left w:val="single" w:sz="5" w:space="0" w:color="9BAABA"/>
          <w:bottom w:val="single" w:sz="5" w:space="0" w:color="9BAABA"/>
          <w:right w:val="single" w:sz="5" w:space="0" w:color="9BAABA"/>
          <w:insideH w:val="single" w:sz="5" w:space="0" w:color="9BAABA"/>
          <w:insideV w:val="single" w:sz="5" w:space="0" w:color="9BAABA"/>
        </w:tblBorders>
      </w:tblPr>
      <w:tblGrid>
        <w:gridCol w:w="2160"/>
        <w:gridCol w:w="2376"/>
        <w:gridCol w:w="4536"/>
      </w:tblGrid>
      <w:tr>
        <w:trPr>
          <w:tblHeader w:val="true"/>
        </w:trPr>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Sensor / operation</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Current implementation setting</w:t>
            </w:r>
          </w:p>
        </w:tc>
        <w:tc>
          <w:tcPr>
            <w:tcW w:type="dxa" w:w="3106"/>
            <w:vAlign w:val="center"/>
            <w:tcMar>
              <w:top w:w="80" w:type="dxa"/>
              <w:start w:w="95" w:type="dxa"/>
              <w:bottom w:w="80" w:type="dxa"/>
              <w:end w:w="95" w:type="dxa"/>
            </w:tcMar>
            <w:shd w:fill="18364F"/>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color w:val="FFFFFF"/>
                <w:sz w:val="24"/>
              </w:rPr>
              <w:t>Meaning</w:t>
            </w:r>
          </w:p>
        </w:tc>
      </w:tr>
      <w:tr>
        <w:tc>
          <w:tcPr>
            <w:tcW w:type="dxa" w:w="216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Email</w:t>
            </w:r>
          </w:p>
        </w:tc>
        <w:tc>
          <w:tcPr>
            <w:tcW w:type="dxa" w:w="237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0.50</w:t>
            </w:r>
          </w:p>
        </w:tc>
        <w:tc>
          <w:tcPr>
            <w:tcW w:type="dxa" w:w="453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Class-1 probability at or above this value produces a phishing indicator.</w:t>
            </w:r>
          </w:p>
        </w:tc>
      </w:tr>
      <w:tr>
        <w:tc>
          <w:tcPr>
            <w:tcW w:type="dxa" w:w="216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Audio</w:t>
            </w:r>
          </w:p>
        </w:tc>
        <w:tc>
          <w:tcPr>
            <w:tcW w:type="dxa" w:w="237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0.45</w:t>
            </w:r>
          </w:p>
        </w:tc>
        <w:tc>
          <w:tcPr>
            <w:tcW w:type="dxa" w:w="453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Sigmoid score at or above this value produces a synthetic-audio indicator.</w:t>
            </w:r>
          </w:p>
        </w:tc>
      </w:tr>
      <w:tr>
        <w:tc>
          <w:tcPr>
            <w:tcW w:type="dxa" w:w="216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Video face detection</w:t>
            </w:r>
          </w:p>
        </w:tc>
        <w:tc>
          <w:tcPr>
            <w:tcW w:type="dxa" w:w="237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0.90 MTCNN confidence</w:t>
            </w:r>
          </w:p>
        </w:tc>
        <w:tc>
          <w:tcPr>
            <w:tcW w:type="dxa" w:w="453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Face region is accepted for downstream crop classification.</w:t>
            </w:r>
          </w:p>
        </w:tc>
      </w:tr>
      <w:tr>
        <w:tc>
          <w:tcPr>
            <w:tcW w:type="dxa" w:w="216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Video calibration</w:t>
            </w:r>
          </w:p>
        </w:tc>
        <w:tc>
          <w:tcPr>
            <w:tcW w:type="dxa" w:w="237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0.7920 fallback raw threshold</w:t>
            </w:r>
          </w:p>
        </w:tc>
        <w:tc>
          <w:tcPr>
            <w:tcW w:type="dxa" w:w="453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Raw score is logit-shifted so this threshold maps to calibrated 0.50; a calibration.json file overrides the fallback.</w:t>
            </w:r>
          </w:p>
        </w:tc>
      </w:tr>
      <w:tr>
        <w:tc>
          <w:tcPr>
            <w:tcW w:type="dxa" w:w="2160"/>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Multimodal veto</w:t>
            </w:r>
          </w:p>
        </w:tc>
        <w:tc>
          <w:tcPr>
            <w:tcW w:type="dxa" w:w="237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0.85 audio or video score</w:t>
            </w:r>
          </w:p>
        </w:tc>
        <w:tc>
          <w:tcPr>
            <w:tcW w:type="dxa" w:w="4536"/>
            <w:vAlign w:val="center"/>
            <w:tcMar>
              <w:top w:w="80" w:type="dxa"/>
              <w:start w:w="95" w:type="dxa"/>
              <w:bottom w:w="80" w:type="dxa"/>
              <w:end w:w="95" w:type="dxa"/>
            </w:tcMar>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Returns the highest available sensor score.</w:t>
            </w:r>
          </w:p>
        </w:tc>
      </w:tr>
      <w:tr>
        <w:tc>
          <w:tcPr>
            <w:tcW w:type="dxa" w:w="2160"/>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Final threat decision</w:t>
            </w:r>
          </w:p>
        </w:tc>
        <w:tc>
          <w:tcPr>
            <w:tcW w:type="dxa" w:w="237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0.50 unified score</w:t>
            </w:r>
          </w:p>
        </w:tc>
        <w:tc>
          <w:tcPr>
            <w:tcW w:type="dxa" w:w="4536"/>
            <w:vAlign w:val="center"/>
            <w:tcMar>
              <w:top w:w="80" w:type="dxa"/>
              <w:start w:w="95" w:type="dxa"/>
              <w:bottom w:w="80" w:type="dxa"/>
              <w:end w:w="95" w:type="dxa"/>
            </w:tcMar>
            <w:shd w:fill="F1F5F8"/>
          </w:tcPr>
          <w:p>
            <w:pPr>
              <w:pStyle w:val="SmallTable"/>
              <w:spacing w:after="40" w:line="240" w:lineRule="auto"/>
              <w:jc w:val="left"/>
            </w:pPr>
            <w:r>
              <w:rPr>
                <w:rFonts w:ascii="Times New Roman" w:hAnsi="Times New Roman" w:eastAsia="Times New Roman"/>
                <w:sz w:val="24"/>
              </w:rPr>
            </w:r>
            <w:r>
              <w:rPr>
                <w:rFonts w:ascii="Times New Roman" w:hAnsi="Times New Roman" w:eastAsia="Times New Roman"/>
                <w:b w:val="0"/>
                <w:sz w:val="24"/>
              </w:rPr>
              <w:t>Scores at or above boundary receive the threat label.</w:t>
            </w:r>
          </w:p>
        </w:tc>
      </w:tr>
    </w:tbl>
    <w:p>
      <w:pPr>
        <w:spacing w:after="100" w:line="259" w:lineRule="auto"/>
      </w:pPr>
    </w:p>
    <w:p>
      <w:pPr>
        <w:pStyle w:val="Heading2"/>
      </w:pPr>
      <w:r>
        <w:rPr>
          <w:rFonts w:ascii="Times New Roman" w:hAnsi="Times New Roman" w:eastAsia="Times New Roman"/>
        </w:rPr>
        <w:t>Appendix C API and Local Deployment</w:t>
      </w:r>
    </w:p>
    <w:p>
      <w:pPr>
        <w:spacing w:line="259" w:lineRule="auto" w:after="100"/>
      </w:pPr>
      <w:r>
        <w:rPr>
          <w:rFonts w:ascii="Times New Roman" w:hAnsi="Times New Roman" w:eastAsia="Times New Roman"/>
          <w:i w:val="0"/>
          <w:sz w:val="24"/>
        </w:rPr>
        <w:t>The API routes are documented in Chapter 9. The default Compose deployment publishes the user interface on 127.0.0.1:8080 and keeps the backend service on the private Compose network. The project documentation describes building and starting the two services with Docker Compose. Before claiming deployment readiness, confirm both services start, model availability is healthy, API calls complete, and the local host binding is preserved.</w:t>
      </w:r>
    </w:p>
    <w:p>
      <w:pPr>
        <w:pStyle w:val="Heading2"/>
      </w:pPr>
      <w:r>
        <w:rPr>
          <w:rFonts w:ascii="Times New Roman" w:hAnsi="Times New Roman" w:eastAsia="Times New Roman"/>
        </w:rPr>
        <w:t>Appendix D Evidence Checklist for Final Research Submission</w:t>
      </w:r>
    </w:p>
    <w:p>
      <w:pPr>
        <w:pStyle w:val="ListBullet"/>
        <w:spacing w:after="60"/>
        <w:ind w:left="432" w:hanging="216"/>
      </w:pPr>
      <w:r>
        <w:rPr>
          <w:rFonts w:ascii="Times New Roman" w:hAnsi="Times New Roman" w:eastAsia="Times New Roman"/>
          <w:sz w:val="24"/>
        </w:rPr>
        <w:t>Current email and audio diagnostics are catalogued in Appendix H; lineage gaps and the remaining video/fusion evidence requirements are listed in Appendix I.</w:t>
      </w:r>
    </w:p>
    <w:p>
      <w:pPr>
        <w:pStyle w:val="Heading1"/>
        <w:pageBreakBefore/>
      </w:pPr>
      <w:r>
        <w:rPr>
          <w:rFonts w:ascii="Times New Roman" w:hAnsi="Times New Roman" w:eastAsia="Times New Roman"/>
        </w:rPr>
        <w:t>APPENDIX E  ANALYST INTERFACE REFERENCE</w:t>
      </w:r>
    </w:p>
    <w:p>
      <w:pPr>
        <w:keepLines/>
        <w:spacing w:line="259" w:lineRule="auto" w:after="100"/>
      </w:pPr>
      <w:r>
        <w:rPr>
          <w:rFonts w:ascii="Times New Roman" w:hAnsi="Times New Roman" w:eastAsia="Times New Roman"/>
          <w:sz w:val="24"/>
        </w:rPr>
        <w:t>The following figures document the interface version supplied during project review. They show the analyst workflow and the kind of response information visible to a user. The displayed scores are individual demonstration scans; they are not benchmark results, ground-truth labels, or estimates of model accuracy. The screenshots are included as interface documentation and should be replaced only if the submitted build changes materially.</w:t>
      </w:r>
    </w:p>
    <w:p>
      <w:pPr>
        <w:pStyle w:val="Heading2"/>
      </w:pPr>
      <w:r>
        <w:rPr>
          <w:rFonts w:ascii="Times New Roman" w:hAnsi="Times New Roman" w:eastAsia="Times New Roman"/>
        </w:rPr>
        <w:t>E.1 Workspace and module navigation</w:t>
      </w:r>
    </w:p>
    <w:p>
      <w:pPr>
        <w:keepNext/>
        <w:spacing w:line="259" w:lineRule="auto" w:after="100"/>
        <w:jc w:val="center"/>
      </w:pPr>
      <w:r>
        <w:rPr>
          <w:rFonts w:ascii="Times New Roman" w:hAnsi="Times New Roman" w:eastAsia="Times New Roman"/>
          <w:sz w:val="24"/>
        </w:rPr>
        <w:drawing>
          <wp:inline xmlns:a="http://schemas.openxmlformats.org/drawingml/2006/main" xmlns:pic="http://schemas.openxmlformats.org/drawingml/2006/picture">
            <wp:extent cx="5715000" cy="2890483"/>
            <wp:docPr id="2" name="Picture 2"/>
            <wp:cNvGraphicFramePr>
              <a:graphicFrameLocks noChangeAspect="1"/>
            </wp:cNvGraphicFramePr>
            <a:graphic>
              <a:graphicData uri="http://schemas.openxmlformats.org/drawingml/2006/picture">
                <pic:pic>
                  <pic:nvPicPr>
                    <pic:cNvPr id="0" name="codex-clipboard-0c08e7b7-9b40-404e-b996-0d9b4f22a44a.png"/>
                    <pic:cNvPicPr/>
                  </pic:nvPicPr>
                  <pic:blipFill>
                    <a:blip r:embed="rId11"/>
                    <a:stretch>
                      <a:fillRect/>
                    </a:stretch>
                  </pic:blipFill>
                  <pic:spPr>
                    <a:xfrm>
                      <a:off x="0" y="0"/>
                      <a:ext cx="5715000" cy="2890483"/>
                    </a:xfrm>
                    <a:prstGeom prst="rect"/>
                  </pic:spPr>
                </pic:pic>
              </a:graphicData>
            </a:graphic>
          </wp:inline>
        </w:drawing>
      </w:r>
    </w:p>
    <w:p>
      <w:pPr>
        <w:pStyle w:val="Caption"/>
        <w:keepNext w:val="0"/>
        <w:spacing w:before="60" w:after="160"/>
        <w:jc w:val="center"/>
      </w:pPr>
      <w:r>
        <w:rPr>
          <w:rFonts w:ascii="Times New Roman" w:hAnsi="Times New Roman" w:eastAsia="Times New Roman"/>
          <w:sz w:val="24"/>
        </w:rPr>
        <w:t>Figure E.1. Dashboard overview and navigation. The dashboard reports workspace readiness and links to the four analysis modules.</w:t>
      </w:r>
    </w:p>
    <w:p>
      <w:pPr>
        <w:pStyle w:val="Heading2"/>
      </w:pPr>
      <w:r>
        <w:rPr>
          <w:rFonts w:ascii="Times New Roman" w:hAnsi="Times New Roman" w:eastAsia="Times New Roman"/>
        </w:rPr>
        <w:t>E.2 Email analysis view</w:t>
      </w:r>
    </w:p>
    <w:p>
      <w:pPr>
        <w:keepNext/>
        <w:spacing w:line="259" w:lineRule="auto" w:after="100"/>
        <w:jc w:val="center"/>
      </w:pPr>
      <w:r>
        <w:rPr>
          <w:rFonts w:ascii="Times New Roman" w:hAnsi="Times New Roman" w:eastAsia="Times New Roman"/>
          <w:sz w:val="24"/>
        </w:rPr>
        <w:drawing>
          <wp:inline xmlns:a="http://schemas.openxmlformats.org/drawingml/2006/main" xmlns:pic="http://schemas.openxmlformats.org/drawingml/2006/picture">
            <wp:extent cx="5715000" cy="2835071"/>
            <wp:docPr id="3" name="Picture 3"/>
            <wp:cNvGraphicFramePr>
              <a:graphicFrameLocks noChangeAspect="1"/>
            </wp:cNvGraphicFramePr>
            <a:graphic>
              <a:graphicData uri="http://schemas.openxmlformats.org/drawingml/2006/picture">
                <pic:pic>
                  <pic:nvPicPr>
                    <pic:cNvPr id="0" name="codex-clipboard-f9fe243c-8e82-4d6c-b1cc-1028a7882895.png"/>
                    <pic:cNvPicPr/>
                  </pic:nvPicPr>
                  <pic:blipFill>
                    <a:blip r:embed="rId12"/>
                    <a:stretch>
                      <a:fillRect/>
                    </a:stretch>
                  </pic:blipFill>
                  <pic:spPr>
                    <a:xfrm>
                      <a:off x="0" y="0"/>
                      <a:ext cx="5715000" cy="2835071"/>
                    </a:xfrm>
                    <a:prstGeom prst="rect"/>
                  </pic:spPr>
                </pic:pic>
              </a:graphicData>
            </a:graphic>
          </wp:inline>
        </w:drawing>
      </w:r>
    </w:p>
    <w:p>
      <w:pPr>
        <w:pStyle w:val="Caption"/>
        <w:keepNext w:val="0"/>
        <w:spacing w:before="60" w:after="160"/>
        <w:jc w:val="center"/>
      </w:pPr>
      <w:r>
        <w:rPr>
          <w:rFonts w:ascii="Times New Roman" w:hAnsi="Times New Roman" w:eastAsia="Times New Roman"/>
          <w:sz w:val="24"/>
        </w:rPr>
        <w:t>Figure E.2. Email Intelligence workspace. The result panel presents the email score, verdict, and a textual threat indicator.</w:t>
      </w:r>
    </w:p>
    <w:p>
      <w:pPr>
        <w:spacing w:line="259" w:lineRule="auto" w:after="100"/>
      </w:pPr>
      <w:r>
        <w:rPr>
          <w:rFonts w:ascii="Times New Roman" w:hAnsi="Times New Roman" w:eastAsia="Times New Roman"/>
          <w:sz w:val="24"/>
        </w:rPr>
        <w:br w:type="page"/>
      </w:r>
    </w:p>
    <w:p>
      <w:pPr>
        <w:pStyle w:val="Heading2"/>
      </w:pPr>
      <w:r>
        <w:rPr>
          <w:rFonts w:ascii="Times New Roman" w:hAnsi="Times New Roman" w:eastAsia="Times New Roman"/>
        </w:rPr>
        <w:t>E.3 Audio analysis view</w:t>
      </w:r>
    </w:p>
    <w:p>
      <w:pPr>
        <w:keepNext/>
        <w:spacing w:line="259" w:lineRule="auto" w:after="100"/>
        <w:jc w:val="center"/>
      </w:pPr>
      <w:r>
        <w:rPr>
          <w:rFonts w:ascii="Times New Roman" w:hAnsi="Times New Roman" w:eastAsia="Times New Roman"/>
          <w:sz w:val="24"/>
        </w:rPr>
        <w:drawing>
          <wp:inline xmlns:a="http://schemas.openxmlformats.org/drawingml/2006/main" xmlns:pic="http://schemas.openxmlformats.org/drawingml/2006/picture">
            <wp:extent cx="5715000" cy="2845481"/>
            <wp:docPr id="4" name="Picture 4"/>
            <wp:cNvGraphicFramePr>
              <a:graphicFrameLocks noChangeAspect="1"/>
            </wp:cNvGraphicFramePr>
            <a:graphic>
              <a:graphicData uri="http://schemas.openxmlformats.org/drawingml/2006/picture">
                <pic:pic>
                  <pic:nvPicPr>
                    <pic:cNvPr id="0" name="codex-clipboard-883fd884-e0d8-4f22-8fef-dce7b352328a.png"/>
                    <pic:cNvPicPr/>
                  </pic:nvPicPr>
                  <pic:blipFill>
                    <a:blip r:embed="rId13"/>
                    <a:stretch>
                      <a:fillRect/>
                    </a:stretch>
                  </pic:blipFill>
                  <pic:spPr>
                    <a:xfrm>
                      <a:off x="0" y="0"/>
                      <a:ext cx="5715000" cy="2845481"/>
                    </a:xfrm>
                    <a:prstGeom prst="rect"/>
                  </pic:spPr>
                </pic:pic>
              </a:graphicData>
            </a:graphic>
          </wp:inline>
        </w:drawing>
      </w:r>
    </w:p>
    <w:p>
      <w:pPr>
        <w:pStyle w:val="Caption"/>
        <w:keepNext w:val="0"/>
        <w:spacing w:before="60" w:after="160"/>
        <w:jc w:val="center"/>
      </w:pPr>
      <w:r>
        <w:rPr>
          <w:rFonts w:ascii="Times New Roman" w:hAnsi="Times New Roman" w:eastAsia="Times New Roman"/>
          <w:sz w:val="24"/>
        </w:rPr>
        <w:t>Figure E.3. Audio Forensics workspace. The upload is analyzed by the local MFCC-CNN path; the shown 100% score is one sample output, not an accuracy metric.</w:t>
      </w:r>
    </w:p>
    <w:p>
      <w:pPr>
        <w:pStyle w:val="Heading2"/>
      </w:pPr>
      <w:r>
        <w:rPr>
          <w:rFonts w:ascii="Times New Roman" w:hAnsi="Times New Roman" w:eastAsia="Times New Roman"/>
        </w:rPr>
        <w:t>E.4 Video analysis view</w:t>
      </w:r>
    </w:p>
    <w:p>
      <w:pPr>
        <w:keepNext/>
        <w:spacing w:line="259" w:lineRule="auto" w:after="100"/>
        <w:jc w:val="center"/>
      </w:pPr>
      <w:r>
        <w:rPr>
          <w:rFonts w:ascii="Times New Roman" w:hAnsi="Times New Roman" w:eastAsia="Times New Roman"/>
          <w:sz w:val="24"/>
        </w:rPr>
        <w:drawing>
          <wp:inline xmlns:a="http://schemas.openxmlformats.org/drawingml/2006/main" xmlns:pic="http://schemas.openxmlformats.org/drawingml/2006/picture">
            <wp:extent cx="5715000" cy="2805329"/>
            <wp:docPr id="5" name="Picture 5"/>
            <wp:cNvGraphicFramePr>
              <a:graphicFrameLocks noChangeAspect="1"/>
            </wp:cNvGraphicFramePr>
            <a:graphic>
              <a:graphicData uri="http://schemas.openxmlformats.org/drawingml/2006/picture">
                <pic:pic>
                  <pic:nvPicPr>
                    <pic:cNvPr id="0" name="codex-clipboard-d3225d19-649f-45db-a01c-71e56e452ed6.png"/>
                    <pic:cNvPicPr/>
                  </pic:nvPicPr>
                  <pic:blipFill>
                    <a:blip r:embed="rId14"/>
                    <a:stretch>
                      <a:fillRect/>
                    </a:stretch>
                  </pic:blipFill>
                  <pic:spPr>
                    <a:xfrm>
                      <a:off x="0" y="0"/>
                      <a:ext cx="5715000" cy="2805329"/>
                    </a:xfrm>
                    <a:prstGeom prst="rect"/>
                  </pic:spPr>
                </pic:pic>
              </a:graphicData>
            </a:graphic>
          </wp:inline>
        </w:drawing>
      </w:r>
    </w:p>
    <w:p>
      <w:pPr>
        <w:pStyle w:val="Caption"/>
        <w:keepNext w:val="0"/>
        <w:spacing w:before="60" w:after="160"/>
        <w:jc w:val="center"/>
      </w:pPr>
      <w:r>
        <w:rPr>
          <w:rFonts w:ascii="Times New Roman" w:hAnsi="Times New Roman" w:eastAsia="Times New Roman"/>
          <w:sz w:val="24"/>
        </w:rPr>
        <w:t>Figure E.4. Video Forensics workspace. The interface displays extracted face regions and the video score for one sample scan.</w:t>
      </w:r>
    </w:p>
    <w:p>
      <w:pPr>
        <w:spacing w:line="259" w:lineRule="auto" w:after="100"/>
      </w:pPr>
      <w:r>
        <w:rPr>
          <w:rFonts w:ascii="Times New Roman" w:hAnsi="Times New Roman" w:eastAsia="Times New Roman"/>
          <w:sz w:val="24"/>
        </w:rPr>
        <w:br w:type="page"/>
      </w:r>
    </w:p>
    <w:p>
      <w:pPr>
        <w:pStyle w:val="Heading2"/>
      </w:pPr>
      <w:r>
        <w:rPr>
          <w:rFonts w:ascii="Times New Roman" w:hAnsi="Times New Roman" w:eastAsia="Times New Roman"/>
        </w:rPr>
        <w:t>E.5 Multimodal analysis view</w:t>
      </w:r>
    </w:p>
    <w:p>
      <w:pPr>
        <w:keepNext/>
        <w:spacing w:line="259" w:lineRule="auto" w:after="100"/>
        <w:jc w:val="center"/>
      </w:pPr>
      <w:r>
        <w:rPr>
          <w:rFonts w:ascii="Times New Roman" w:hAnsi="Times New Roman" w:eastAsia="Times New Roman"/>
          <w:sz w:val="24"/>
        </w:rPr>
        <w:drawing>
          <wp:inline xmlns:a="http://schemas.openxmlformats.org/drawingml/2006/main" xmlns:pic="http://schemas.openxmlformats.org/drawingml/2006/picture">
            <wp:extent cx="5715000" cy="2875605"/>
            <wp:docPr id="6" name="Picture 6"/>
            <wp:cNvGraphicFramePr>
              <a:graphicFrameLocks noChangeAspect="1"/>
            </wp:cNvGraphicFramePr>
            <a:graphic>
              <a:graphicData uri="http://schemas.openxmlformats.org/drawingml/2006/picture">
                <pic:pic>
                  <pic:nvPicPr>
                    <pic:cNvPr id="0" name="codex-clipboard-71bd1fac-a1ce-4fa2-9e2e-36d87f2ff913.png"/>
                    <pic:cNvPicPr/>
                  </pic:nvPicPr>
                  <pic:blipFill>
                    <a:blip r:embed="rId15"/>
                    <a:stretch>
                      <a:fillRect/>
                    </a:stretch>
                  </pic:blipFill>
                  <pic:spPr>
                    <a:xfrm>
                      <a:off x="0" y="0"/>
                      <a:ext cx="5715000" cy="2875605"/>
                    </a:xfrm>
                    <a:prstGeom prst="rect"/>
                  </pic:spPr>
                </pic:pic>
              </a:graphicData>
            </a:graphic>
          </wp:inline>
        </w:drawing>
      </w:r>
    </w:p>
    <w:p>
      <w:pPr>
        <w:pStyle w:val="Caption"/>
        <w:keepNext w:val="0"/>
        <w:spacing w:before="60" w:after="160"/>
        <w:jc w:val="center"/>
      </w:pPr>
      <w:r>
        <w:rPr>
          <w:rFonts w:ascii="Times New Roman" w:hAnsi="Times New Roman" w:eastAsia="Times New Roman"/>
          <w:sz w:val="24"/>
        </w:rPr>
        <w:t>Figure E.5. Multimodal Fusion workspace. The screen shows three modality statuses and the fused score for the submitted inputs; it does not establish paired-test performance.</w:t>
      </w:r>
    </w:p>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F  LOCAL API REFERENCE</w:t>
      </w:r>
    </w:p>
    <w:p>
      <w:pPr>
        <w:keepLines/>
        <w:spacing w:line="259" w:lineRule="auto" w:after="100"/>
      </w:pPr>
      <w:r>
        <w:rPr>
          <w:rFonts w:ascii="Times New Roman" w:hAnsi="Times New Roman" w:eastAsia="Times New Roman"/>
          <w:sz w:val="24"/>
        </w:rPr>
        <w:t>The React client communicates with the FastAPI service through relative `/api` routes. In the Compose deployment, the browser reaches the Nginx frontend and Nginx proxies API requests over the private Compose network. The backend is not directly published as a host port in the supplied Compose file.</w:t>
      </w:r>
    </w:p>
    <w:p>
      <w:pPr>
        <w:pStyle w:val="Heading2"/>
      </w:pPr>
      <w:r>
        <w:rPr>
          <w:rFonts w:ascii="Times New Roman" w:hAnsi="Times New Roman" w:eastAsia="Times New Roman"/>
        </w:rPr>
        <w:t>F.1 Endpoint summary</w:t>
      </w:r>
    </w:p>
    <w:tbl>
      <w:tblPr>
        <w:tblStyle w:val="TableGrid"/>
        <w:tblW w:type="auto" w:w="0"/>
        <w:tblLook w:firstColumn="1" w:firstRow="1" w:lastColumn="0" w:lastRow="0" w:noHBand="0" w:noVBand="1" w:val="04A0"/>
      </w:tblPr>
      <w:tblGrid>
        <w:gridCol w:w="2329"/>
        <w:gridCol w:w="2329"/>
        <w:gridCol w:w="2329"/>
        <w:gridCol w:w="2329"/>
      </w:tblGrid>
      <w:tr>
        <w:trPr>
          <w:tblHeader w:val="true"/>
          <w:cantSplit/>
        </w:trPr>
        <w:tc>
          <w:tcPr>
            <w:tcW w:type="dxa" w:w="2160"/>
            <w:vAlign w:val="center"/>
          </w:tcPr>
          <w:p>
            <w:pPr>
              <w:spacing w:after="40" w:line="240" w:lineRule="auto"/>
            </w:pPr>
            <w:r>
              <w:rPr>
                <w:rFonts w:ascii="Times New Roman" w:hAnsi="Times New Roman" w:eastAsia="Times New Roman"/>
                <w:b/>
                <w:sz w:val="24"/>
              </w:rPr>
              <w:t>Endpoint</w:t>
            </w:r>
          </w:p>
        </w:tc>
        <w:tc>
          <w:tcPr>
            <w:tcW w:type="dxa" w:w="2376"/>
            <w:vAlign w:val="center"/>
          </w:tcPr>
          <w:p>
            <w:pPr>
              <w:spacing w:after="40" w:line="240" w:lineRule="auto"/>
            </w:pPr>
            <w:r>
              <w:rPr>
                <w:rFonts w:ascii="Times New Roman" w:hAnsi="Times New Roman" w:eastAsia="Times New Roman"/>
                <w:b/>
                <w:sz w:val="24"/>
              </w:rPr>
              <w:t>Method and input</w:t>
            </w:r>
          </w:p>
        </w:tc>
        <w:tc>
          <w:tcPr>
            <w:tcW w:type="dxa" w:w="3024"/>
            <w:vAlign w:val="center"/>
          </w:tcPr>
          <w:p>
            <w:pPr>
              <w:spacing w:after="40" w:line="240" w:lineRule="auto"/>
            </w:pPr>
            <w:r>
              <w:rPr>
                <w:rFonts w:ascii="Times New Roman" w:hAnsi="Times New Roman" w:eastAsia="Times New Roman"/>
                <w:b/>
                <w:sz w:val="24"/>
              </w:rPr>
              <w:t>Successful response</w:t>
            </w:r>
          </w:p>
        </w:tc>
        <w:tc>
          <w:tcPr>
            <w:tcW w:type="dxa" w:w="2160"/>
            <w:vAlign w:val="center"/>
          </w:tcPr>
          <w:p>
            <w:pPr>
              <w:spacing w:after="40" w:line="240" w:lineRule="auto"/>
            </w:pPr>
            <w:r>
              <w:rPr>
                <w:rFonts w:ascii="Times New Roman" w:hAnsi="Times New Roman" w:eastAsia="Times New Roman"/>
                <w:b/>
                <w:sz w:val="24"/>
              </w:rPr>
              <w:t>Key validation</w:t>
            </w:r>
          </w:p>
        </w:tc>
      </w:tr>
      <w:tr>
        <w:trPr>
          <w:cantSplit/>
        </w:trPr>
        <w:tc>
          <w:tcPr>
            <w:tcW w:type="dxa" w:w="2160"/>
            <w:vAlign w:val="center"/>
          </w:tcPr>
          <w:p>
            <w:pPr>
              <w:spacing w:after="40" w:line="240" w:lineRule="auto"/>
            </w:pPr>
            <w:r>
              <w:rPr>
                <w:rFonts w:ascii="Times New Roman" w:hAnsi="Times New Roman" w:eastAsia="Times New Roman"/>
                <w:sz w:val="24"/>
              </w:rPr>
              <w:t>/api/health</w:t>
            </w:r>
          </w:p>
        </w:tc>
        <w:tc>
          <w:tcPr>
            <w:tcW w:type="dxa" w:w="2376"/>
            <w:vAlign w:val="center"/>
          </w:tcPr>
          <w:p>
            <w:pPr>
              <w:spacing w:after="40" w:line="240" w:lineRule="auto"/>
            </w:pPr>
            <w:r>
              <w:rPr>
                <w:rFonts w:ascii="Times New Roman" w:hAnsi="Times New Roman" w:eastAsia="Times New Roman"/>
                <w:sz w:val="24"/>
              </w:rPr>
              <w:t>GET; no body</w:t>
            </w:r>
          </w:p>
        </w:tc>
        <w:tc>
          <w:tcPr>
            <w:tcW w:type="dxa" w:w="3024"/>
            <w:vAlign w:val="center"/>
          </w:tcPr>
          <w:p>
            <w:pPr>
              <w:spacing w:after="40" w:line="240" w:lineRule="auto"/>
            </w:pPr>
            <w:r>
              <w:rPr>
                <w:rFonts w:ascii="Times New Roman" w:hAnsi="Times New Roman" w:eastAsia="Times New Roman"/>
                <w:sz w:val="24"/>
              </w:rPr>
              <w:t>Service status and availability by model</w:t>
            </w:r>
          </w:p>
        </w:tc>
        <w:tc>
          <w:tcPr>
            <w:tcW w:type="dxa" w:w="2160"/>
            <w:vAlign w:val="center"/>
          </w:tcPr>
          <w:p>
            <w:pPr>
              <w:spacing w:after="40" w:line="240" w:lineRule="auto"/>
            </w:pPr>
            <w:r>
              <w:rPr>
                <w:rFonts w:ascii="Times New Roman" w:hAnsi="Times New Roman" w:eastAsia="Times New Roman"/>
                <w:sz w:val="24"/>
              </w:rPr>
              <w:t>A model can be unavailable even when the service responds.</w:t>
            </w:r>
          </w:p>
        </w:tc>
      </w:tr>
      <w:tr>
        <w:trPr>
          <w:cantSplit/>
        </w:trPr>
        <w:tc>
          <w:tcPr>
            <w:tcW w:type="dxa" w:w="2160"/>
            <w:vAlign w:val="center"/>
          </w:tcPr>
          <w:p>
            <w:pPr>
              <w:spacing w:after="40" w:line="240" w:lineRule="auto"/>
            </w:pPr>
            <w:r>
              <w:rPr>
                <w:rFonts w:ascii="Times New Roman" w:hAnsi="Times New Roman" w:eastAsia="Times New Roman"/>
                <w:sz w:val="24"/>
              </w:rPr>
              <w:t>/api/analyze/email</w:t>
            </w:r>
          </w:p>
        </w:tc>
        <w:tc>
          <w:tcPr>
            <w:tcW w:type="dxa" w:w="2376"/>
            <w:vAlign w:val="center"/>
          </w:tcPr>
          <w:p>
            <w:pPr>
              <w:spacing w:after="40" w:line="240" w:lineRule="auto"/>
            </w:pPr>
            <w:r>
              <w:rPr>
                <w:rFonts w:ascii="Times New Roman" w:hAnsi="Times New Roman" w:eastAsia="Times New Roman"/>
                <w:sz w:val="24"/>
              </w:rPr>
              <w:t>POST JSON: {"text":"..."}</w:t>
            </w:r>
          </w:p>
        </w:tc>
        <w:tc>
          <w:tcPr>
            <w:tcW w:type="dxa" w:w="3024"/>
            <w:vAlign w:val="center"/>
          </w:tcPr>
          <w:p>
            <w:pPr>
              <w:spacing w:after="40" w:line="240" w:lineRule="auto"/>
            </w:pPr>
            <w:r>
              <w:rPr>
                <w:rFonts w:ascii="Times New Roman" w:hAnsi="Times New Roman" w:eastAsia="Times New Roman"/>
                <w:sz w:val="24"/>
              </w:rPr>
              <w:t>Analysis ID, class label, score, model name, summary and indicators</w:t>
            </w:r>
          </w:p>
        </w:tc>
        <w:tc>
          <w:tcPr>
            <w:tcW w:type="dxa" w:w="2160"/>
            <w:vAlign w:val="center"/>
          </w:tcPr>
          <w:p>
            <w:pPr>
              <w:spacing w:after="40" w:line="240" w:lineRule="auto"/>
            </w:pPr>
            <w:r>
              <w:rPr>
                <w:rFonts w:ascii="Times New Roman" w:hAnsi="Times New Roman" w:eastAsia="Times New Roman"/>
                <w:sz w:val="24"/>
              </w:rPr>
              <w:t>Non-empty text; configured maximum 100,000 characters.</w:t>
            </w:r>
          </w:p>
        </w:tc>
      </w:tr>
      <w:tr>
        <w:trPr>
          <w:cantSplit/>
        </w:trPr>
        <w:tc>
          <w:tcPr>
            <w:tcW w:type="dxa" w:w="2160"/>
            <w:vAlign w:val="center"/>
          </w:tcPr>
          <w:p>
            <w:pPr>
              <w:spacing w:after="40" w:line="240" w:lineRule="auto"/>
            </w:pPr>
            <w:r>
              <w:rPr>
                <w:rFonts w:ascii="Times New Roman" w:hAnsi="Times New Roman" w:eastAsia="Times New Roman"/>
                <w:sz w:val="24"/>
              </w:rPr>
              <w:t>/api/analyze/audio</w:t>
            </w:r>
          </w:p>
        </w:tc>
        <w:tc>
          <w:tcPr>
            <w:tcW w:type="dxa" w:w="2376"/>
            <w:vAlign w:val="center"/>
          </w:tcPr>
          <w:p>
            <w:pPr>
              <w:spacing w:after="40" w:line="240" w:lineRule="auto"/>
            </w:pPr>
            <w:r>
              <w:rPr>
                <w:rFonts w:ascii="Times New Roman" w:hAnsi="Times New Roman" w:eastAsia="Times New Roman"/>
                <w:sz w:val="24"/>
              </w:rPr>
              <w:t>POST multipart file field</w:t>
            </w:r>
          </w:p>
        </w:tc>
        <w:tc>
          <w:tcPr>
            <w:tcW w:type="dxa" w:w="3024"/>
            <w:vAlign w:val="center"/>
          </w:tcPr>
          <w:p>
            <w:pPr>
              <w:spacing w:after="40" w:line="240" w:lineRule="auto"/>
            </w:pPr>
            <w:r>
              <w:rPr>
                <w:rFonts w:ascii="Times New Roman" w:hAnsi="Times New Roman" w:eastAsia="Times New Roman"/>
                <w:sz w:val="24"/>
              </w:rPr>
              <w:t>Synthetic/genuine label and CNN score</w:t>
            </w:r>
          </w:p>
        </w:tc>
        <w:tc>
          <w:tcPr>
            <w:tcW w:type="dxa" w:w="2160"/>
            <w:vAlign w:val="center"/>
          </w:tcPr>
          <w:p>
            <w:pPr>
              <w:spacing w:after="40" w:line="240" w:lineRule="auto"/>
            </w:pPr>
            <w:r>
              <w:rPr>
                <w:rFonts w:ascii="Times New Roman" w:hAnsi="Times New Roman" w:eastAsia="Times New Roman"/>
                <w:sz w:val="24"/>
              </w:rPr>
              <w:t>WAV, FLAC, MP3, OGG or M4A; up to 25 MB and 180 seconds by default.</w:t>
            </w:r>
          </w:p>
        </w:tc>
      </w:tr>
      <w:tr>
        <w:trPr>
          <w:cantSplit/>
        </w:trPr>
        <w:tc>
          <w:tcPr>
            <w:tcW w:type="dxa" w:w="2160"/>
            <w:vAlign w:val="center"/>
          </w:tcPr>
          <w:p>
            <w:pPr>
              <w:spacing w:after="40" w:line="240" w:lineRule="auto"/>
            </w:pPr>
            <w:r>
              <w:rPr>
                <w:rFonts w:ascii="Times New Roman" w:hAnsi="Times New Roman" w:eastAsia="Times New Roman"/>
                <w:sz w:val="24"/>
              </w:rPr>
              <w:t>/api/analyze/video</w:t>
            </w:r>
          </w:p>
        </w:tc>
        <w:tc>
          <w:tcPr>
            <w:tcW w:type="dxa" w:w="2376"/>
            <w:vAlign w:val="center"/>
          </w:tcPr>
          <w:p>
            <w:pPr>
              <w:spacing w:after="40" w:line="240" w:lineRule="auto"/>
            </w:pPr>
            <w:r>
              <w:rPr>
                <w:rFonts w:ascii="Times New Roman" w:hAnsi="Times New Roman" w:eastAsia="Times New Roman"/>
                <w:sz w:val="24"/>
              </w:rPr>
              <w:t>POST multipart file field</w:t>
            </w:r>
          </w:p>
        </w:tc>
        <w:tc>
          <w:tcPr>
            <w:tcW w:type="dxa" w:w="3024"/>
            <w:vAlign w:val="center"/>
          </w:tcPr>
          <w:p>
            <w:pPr>
              <w:spacing w:after="40" w:line="240" w:lineRule="auto"/>
            </w:pPr>
            <w:r>
              <w:rPr>
                <w:rFonts w:ascii="Times New Roman" w:hAnsi="Times New Roman" w:eastAsia="Times New Roman"/>
                <w:sz w:val="24"/>
              </w:rPr>
              <w:t>Manipulated/original label, score and up to five face crops</w:t>
            </w:r>
          </w:p>
        </w:tc>
        <w:tc>
          <w:tcPr>
            <w:tcW w:type="dxa" w:w="2160"/>
            <w:vAlign w:val="center"/>
          </w:tcPr>
          <w:p>
            <w:pPr>
              <w:spacing w:after="40" w:line="240" w:lineRule="auto"/>
            </w:pPr>
            <w:r>
              <w:rPr>
                <w:rFonts w:ascii="Times New Roman" w:hAnsi="Times New Roman" w:eastAsia="Times New Roman"/>
                <w:sz w:val="24"/>
              </w:rPr>
              <w:t>MP4, MOV or M4V; up to 100 MB and 120 seconds by default; a valid face must be found.</w:t>
            </w:r>
          </w:p>
        </w:tc>
      </w:tr>
      <w:tr>
        <w:trPr>
          <w:cantSplit/>
        </w:trPr>
        <w:tc>
          <w:tcPr>
            <w:tcW w:type="dxa" w:w="2160"/>
            <w:vAlign w:val="center"/>
          </w:tcPr>
          <w:p>
            <w:pPr>
              <w:spacing w:after="40" w:line="240" w:lineRule="auto"/>
            </w:pPr>
            <w:r>
              <w:rPr>
                <w:rFonts w:ascii="Times New Roman" w:hAnsi="Times New Roman" w:eastAsia="Times New Roman"/>
                <w:sz w:val="24"/>
              </w:rPr>
              <w:t>/api/analyze/multimodal</w:t>
            </w:r>
          </w:p>
        </w:tc>
        <w:tc>
          <w:tcPr>
            <w:tcW w:type="dxa" w:w="2376"/>
            <w:vAlign w:val="center"/>
          </w:tcPr>
          <w:p>
            <w:pPr>
              <w:spacing w:after="40" w:line="240" w:lineRule="auto"/>
            </w:pPr>
            <w:r>
              <w:rPr>
                <w:rFonts w:ascii="Times New Roman" w:hAnsi="Times New Roman" w:eastAsia="Times New Roman"/>
                <w:sz w:val="24"/>
              </w:rPr>
              <w:t>POST multipart: optional text/audio/video</w:t>
            </w:r>
          </w:p>
        </w:tc>
        <w:tc>
          <w:tcPr>
            <w:tcW w:type="dxa" w:w="3024"/>
            <w:vAlign w:val="center"/>
          </w:tcPr>
          <w:p>
            <w:pPr>
              <w:spacing w:after="40" w:line="240" w:lineRule="auto"/>
            </w:pPr>
            <w:r>
              <w:rPr>
                <w:rFonts w:ascii="Times New Roman" w:hAnsi="Times New Roman" w:eastAsia="Times New Roman"/>
                <w:sz w:val="24"/>
              </w:rPr>
              <w:t>Overall prediction plus modality scores, statuses, errors and indicators</w:t>
            </w:r>
          </w:p>
        </w:tc>
        <w:tc>
          <w:tcPr>
            <w:tcW w:type="dxa" w:w="2160"/>
            <w:vAlign w:val="center"/>
          </w:tcPr>
          <w:p>
            <w:pPr>
              <w:spacing w:after="40" w:line="240" w:lineRule="auto"/>
            </w:pPr>
            <w:r>
              <w:rPr>
                <w:rFonts w:ascii="Times New Roman" w:hAnsi="Times New Roman" w:eastAsia="Times New Roman"/>
                <w:sz w:val="24"/>
              </w:rPr>
              <w:t>At least one modality; each supplied input follows its modality validation rules.</w:t>
            </w:r>
          </w:p>
        </w:tc>
      </w:tr>
    </w:tbl>
    <w:p>
      <w:pPr>
        <w:pStyle w:val="Heading2"/>
      </w:pPr>
      <w:r>
        <w:rPr>
          <w:rFonts w:ascii="Times New Roman" w:hAnsi="Times New Roman" w:eastAsia="Times New Roman"/>
        </w:rPr>
        <w:t>F.2 Common response fields</w:t>
      </w:r>
    </w:p>
    <w:p>
      <w:pPr>
        <w:keepLines/>
        <w:spacing w:line="259" w:lineRule="auto" w:after="100"/>
      </w:pPr>
      <w:r>
        <w:rPr>
          <w:rFonts w:ascii="Times New Roman" w:hAnsi="Times New Roman" w:eastAsia="Times New Roman"/>
          <w:sz w:val="24"/>
        </w:rPr>
        <w:t>An AnalysisResponse contains analysis_id, analysis_type, status, prediction, summary, indicators, frames, modality_status, modality_errors, and a creation timestamp. The prediction object includes label, score, score_type, and model_name. A completed response means the request was handled; it does not mean the decision has been independently validated. The UI should preserve the distinction between processed, omitted, failed, and unavailable modalities so a reader can interpret a partial result correctly.</w:t>
      </w:r>
    </w:p>
    <w:p>
      <w:pPr>
        <w:keepLines/>
        <w:spacing w:line="259" w:lineRule="auto" w:after="100"/>
      </w:pPr>
      <w:r>
        <w:rPr>
          <w:rFonts w:ascii="Times New Roman" w:hAnsi="Times New Roman" w:eastAsia="Times New Roman"/>
          <w:sz w:val="24"/>
        </w:rPr>
        <w:t>The multimodal endpoint can return status `partial` when one or more supplied sensors fail while another succeeds. The summary includes each modality score or N/A. A missing modality is excluded from the normalized fusion denominator. A failed modality is also not silently assigned a zero score. The response’s modality_errors field is the place to inspect a concise failure reason; detailed stack traces remain in backend logs.</w:t>
      </w:r>
    </w:p>
    <w:p>
      <w:pPr>
        <w:pStyle w:val="Heading2"/>
      </w:pPr>
      <w:r>
        <w:rPr>
          <w:rFonts w:ascii="Times New Roman" w:hAnsi="Times New Roman" w:eastAsia="Times New Roman"/>
        </w:rPr>
        <w:t>F.3 Operational thresholds</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2376"/>
            <w:vAlign w:val="center"/>
          </w:tcPr>
          <w:p>
            <w:pPr>
              <w:spacing w:after="40" w:line="240" w:lineRule="auto"/>
            </w:pPr>
            <w:r>
              <w:rPr>
                <w:rFonts w:ascii="Times New Roman" w:hAnsi="Times New Roman" w:eastAsia="Times New Roman"/>
                <w:b/>
                <w:sz w:val="24"/>
              </w:rPr>
              <w:t>Sensor / rule</w:t>
            </w:r>
          </w:p>
        </w:tc>
        <w:tc>
          <w:tcPr>
            <w:tcW w:type="dxa" w:w="1944"/>
            <w:vAlign w:val="center"/>
          </w:tcPr>
          <w:p>
            <w:pPr>
              <w:spacing w:after="40" w:line="240" w:lineRule="auto"/>
            </w:pPr>
            <w:r>
              <w:rPr>
                <w:rFonts w:ascii="Times New Roman" w:hAnsi="Times New Roman" w:eastAsia="Times New Roman"/>
                <w:b/>
                <w:sz w:val="24"/>
              </w:rPr>
              <w:t>Configured value</w:t>
            </w:r>
          </w:p>
        </w:tc>
        <w:tc>
          <w:tcPr>
            <w:tcW w:type="dxa" w:w="5400"/>
            <w:vAlign w:val="center"/>
          </w:tcPr>
          <w:p>
            <w:pPr>
              <w:spacing w:after="40" w:line="240" w:lineRule="auto"/>
            </w:pPr>
            <w:r>
              <w:rPr>
                <w:rFonts w:ascii="Times New Roman" w:hAnsi="Times New Roman" w:eastAsia="Times New Roman"/>
                <w:b/>
                <w:sz w:val="24"/>
              </w:rPr>
              <w:t>Interpretation and limitation</w:t>
            </w:r>
          </w:p>
        </w:tc>
      </w:tr>
      <w:tr>
        <w:trPr>
          <w:cantSplit/>
        </w:trPr>
        <w:tc>
          <w:tcPr>
            <w:tcW w:type="dxa" w:w="2376"/>
            <w:vAlign w:val="center"/>
          </w:tcPr>
          <w:p>
            <w:pPr>
              <w:spacing w:after="40" w:line="240" w:lineRule="auto"/>
            </w:pPr>
            <w:r>
              <w:rPr>
                <w:rFonts w:ascii="Times New Roman" w:hAnsi="Times New Roman" w:eastAsia="Times New Roman"/>
                <w:sz w:val="24"/>
              </w:rPr>
              <w:t>Email indicator</w:t>
            </w:r>
          </w:p>
        </w:tc>
        <w:tc>
          <w:tcPr>
            <w:tcW w:type="dxa" w:w="1944"/>
            <w:vAlign w:val="center"/>
          </w:tcPr>
          <w:p>
            <w:pPr>
              <w:spacing w:after="40" w:line="240" w:lineRule="auto"/>
            </w:pPr>
            <w:r>
              <w:rPr>
                <w:rFonts w:ascii="Times New Roman" w:hAnsi="Times New Roman" w:eastAsia="Times New Roman"/>
                <w:sz w:val="24"/>
              </w:rPr>
              <w:t>0.50</w:t>
            </w:r>
          </w:p>
        </w:tc>
        <w:tc>
          <w:tcPr>
            <w:tcW w:type="dxa" w:w="5400"/>
            <w:vAlign w:val="center"/>
          </w:tcPr>
          <w:p>
            <w:pPr>
              <w:spacing w:after="40" w:line="240" w:lineRule="auto"/>
            </w:pPr>
            <w:r>
              <w:rPr>
                <w:rFonts w:ascii="Times New Roman" w:hAnsi="Times New Roman" w:eastAsia="Times New Roman"/>
                <w:sz w:val="24"/>
              </w:rPr>
              <w:t>Class-1 softmax score at or above the boundary is labeled phishing.</w:t>
            </w:r>
          </w:p>
        </w:tc>
      </w:tr>
      <w:tr>
        <w:trPr>
          <w:cantSplit/>
        </w:trPr>
        <w:tc>
          <w:tcPr>
            <w:tcW w:type="dxa" w:w="2376"/>
            <w:vAlign w:val="center"/>
          </w:tcPr>
          <w:p>
            <w:pPr>
              <w:spacing w:after="40" w:line="240" w:lineRule="auto"/>
            </w:pPr>
            <w:r>
              <w:rPr>
                <w:rFonts w:ascii="Times New Roman" w:hAnsi="Times New Roman" w:eastAsia="Times New Roman"/>
                <w:sz w:val="24"/>
              </w:rPr>
              <w:t>Audio indicator</w:t>
            </w:r>
          </w:p>
        </w:tc>
        <w:tc>
          <w:tcPr>
            <w:tcW w:type="dxa" w:w="1944"/>
            <w:vAlign w:val="center"/>
          </w:tcPr>
          <w:p>
            <w:pPr>
              <w:spacing w:after="40" w:line="240" w:lineRule="auto"/>
            </w:pPr>
            <w:r>
              <w:rPr>
                <w:rFonts w:ascii="Times New Roman" w:hAnsi="Times New Roman" w:eastAsia="Times New Roman"/>
                <w:sz w:val="24"/>
              </w:rPr>
              <w:t>0.45</w:t>
            </w:r>
          </w:p>
        </w:tc>
        <w:tc>
          <w:tcPr>
            <w:tcW w:type="dxa" w:w="5400"/>
            <w:vAlign w:val="center"/>
          </w:tcPr>
          <w:p>
            <w:pPr>
              <w:spacing w:after="40" w:line="240" w:lineRule="auto"/>
            </w:pPr>
            <w:r>
              <w:rPr>
                <w:rFonts w:ascii="Times New Roman" w:hAnsi="Times New Roman" w:eastAsia="Times New Roman"/>
                <w:sz w:val="24"/>
              </w:rPr>
              <w:t>CNN sigmoid score at or above the boundary is labeled synthetic.</w:t>
            </w:r>
          </w:p>
        </w:tc>
      </w:tr>
      <w:tr>
        <w:trPr>
          <w:cantSplit/>
        </w:trPr>
        <w:tc>
          <w:tcPr>
            <w:tcW w:type="dxa" w:w="2376"/>
            <w:vAlign w:val="center"/>
          </w:tcPr>
          <w:p>
            <w:pPr>
              <w:spacing w:after="40" w:line="240" w:lineRule="auto"/>
            </w:pPr>
            <w:r>
              <w:rPr>
                <w:rFonts w:ascii="Times New Roman" w:hAnsi="Times New Roman" w:eastAsia="Times New Roman"/>
                <w:sz w:val="24"/>
              </w:rPr>
              <w:t>Video face acceptance</w:t>
            </w:r>
          </w:p>
        </w:tc>
        <w:tc>
          <w:tcPr>
            <w:tcW w:type="dxa" w:w="1944"/>
            <w:vAlign w:val="center"/>
          </w:tcPr>
          <w:p>
            <w:pPr>
              <w:spacing w:after="40" w:line="240" w:lineRule="auto"/>
            </w:pPr>
            <w:r>
              <w:rPr>
                <w:rFonts w:ascii="Times New Roman" w:hAnsi="Times New Roman" w:eastAsia="Times New Roman"/>
                <w:sz w:val="24"/>
              </w:rPr>
              <w:t>MTCNN confidence &gt; 0.90</w:t>
            </w:r>
          </w:p>
        </w:tc>
        <w:tc>
          <w:tcPr>
            <w:tcW w:type="dxa" w:w="5400"/>
            <w:vAlign w:val="center"/>
          </w:tcPr>
          <w:p>
            <w:pPr>
              <w:spacing w:after="40" w:line="240" w:lineRule="auto"/>
            </w:pPr>
            <w:r>
              <w:rPr>
                <w:rFonts w:ascii="Times New Roman" w:hAnsi="Times New Roman" w:eastAsia="Times New Roman"/>
                <w:sz w:val="24"/>
              </w:rPr>
              <w:t>A candidate face region must pass the detector confidence gate.</w:t>
            </w:r>
          </w:p>
        </w:tc>
      </w:tr>
      <w:tr>
        <w:trPr>
          <w:cantSplit/>
        </w:trPr>
        <w:tc>
          <w:tcPr>
            <w:tcW w:type="dxa" w:w="2376"/>
            <w:vAlign w:val="center"/>
          </w:tcPr>
          <w:p>
            <w:pPr>
              <w:spacing w:after="40" w:line="240" w:lineRule="auto"/>
            </w:pPr>
            <w:r>
              <w:rPr>
                <w:rFonts w:ascii="Times New Roman" w:hAnsi="Times New Roman" w:eastAsia="Times New Roman"/>
                <w:sz w:val="24"/>
              </w:rPr>
              <w:t>Video score boundary</w:t>
            </w:r>
          </w:p>
        </w:tc>
        <w:tc>
          <w:tcPr>
            <w:tcW w:type="dxa" w:w="1944"/>
            <w:vAlign w:val="center"/>
          </w:tcPr>
          <w:p>
            <w:pPr>
              <w:spacing w:after="40" w:line="240" w:lineRule="auto"/>
            </w:pPr>
            <w:r>
              <w:rPr>
                <w:rFonts w:ascii="Times New Roman" w:hAnsi="Times New Roman" w:eastAsia="Times New Roman"/>
                <w:sz w:val="24"/>
              </w:rPr>
              <w:t>0.50 after score transform</w:t>
            </w:r>
          </w:p>
        </w:tc>
        <w:tc>
          <w:tcPr>
            <w:tcW w:type="dxa" w:w="5400"/>
            <w:vAlign w:val="center"/>
          </w:tcPr>
          <w:p>
            <w:pPr>
              <w:spacing w:after="40" w:line="240" w:lineRule="auto"/>
            </w:pPr>
            <w:r>
              <w:rPr>
                <w:rFonts w:ascii="Times New Roman" w:hAnsi="Times New Roman" w:eastAsia="Times New Roman"/>
                <w:sz w:val="24"/>
              </w:rPr>
              <w:t>Separates the displayed original/manipulated label.</w:t>
            </w:r>
          </w:p>
        </w:tc>
      </w:tr>
      <w:tr>
        <w:trPr>
          <w:cantSplit/>
        </w:trPr>
        <w:tc>
          <w:tcPr>
            <w:tcW w:type="dxa" w:w="2376"/>
            <w:vAlign w:val="center"/>
          </w:tcPr>
          <w:p>
            <w:pPr>
              <w:spacing w:after="40" w:line="240" w:lineRule="auto"/>
            </w:pPr>
            <w:r>
              <w:rPr>
                <w:rFonts w:ascii="Times New Roman" w:hAnsi="Times New Roman" w:eastAsia="Times New Roman"/>
                <w:sz w:val="24"/>
              </w:rPr>
              <w:t>Video transform fallback</w:t>
            </w:r>
          </w:p>
        </w:tc>
        <w:tc>
          <w:tcPr>
            <w:tcW w:type="dxa" w:w="1944"/>
            <w:vAlign w:val="center"/>
          </w:tcPr>
          <w:p>
            <w:pPr>
              <w:spacing w:after="40" w:line="240" w:lineRule="auto"/>
            </w:pPr>
            <w:r>
              <w:rPr>
                <w:rFonts w:ascii="Times New Roman" w:hAnsi="Times New Roman" w:eastAsia="Times New Roman"/>
                <w:sz w:val="24"/>
              </w:rPr>
              <w:t>tau = 0.7920</w:t>
            </w:r>
          </w:p>
        </w:tc>
        <w:tc>
          <w:tcPr>
            <w:tcW w:type="dxa" w:w="5400"/>
            <w:vAlign w:val="center"/>
          </w:tcPr>
          <w:p>
            <w:pPr>
              <w:spacing w:after="40" w:line="240" w:lineRule="auto"/>
            </w:pPr>
            <w:r>
              <w:rPr>
                <w:rFonts w:ascii="Times New Roman" w:hAnsi="Times New Roman" w:eastAsia="Times New Roman"/>
                <w:sz w:val="24"/>
              </w:rPr>
              <w:t>Legacy logit recentering maps raw tau to 0.50; no validation artifact verifies this as a fitted calibration.</w:t>
            </w:r>
          </w:p>
        </w:tc>
      </w:tr>
      <w:tr>
        <w:trPr>
          <w:cantSplit/>
        </w:trPr>
        <w:tc>
          <w:tcPr>
            <w:tcW w:type="dxa" w:w="2376"/>
            <w:vAlign w:val="center"/>
          </w:tcPr>
          <w:p>
            <w:pPr>
              <w:spacing w:after="40" w:line="240" w:lineRule="auto"/>
            </w:pPr>
            <w:r>
              <w:rPr>
                <w:rFonts w:ascii="Times New Roman" w:hAnsi="Times New Roman" w:eastAsia="Times New Roman"/>
                <w:sz w:val="24"/>
              </w:rPr>
              <w:t>Biometric fusion veto</w:t>
            </w:r>
          </w:p>
        </w:tc>
        <w:tc>
          <w:tcPr>
            <w:tcW w:type="dxa" w:w="1944"/>
            <w:vAlign w:val="center"/>
          </w:tcPr>
          <w:p>
            <w:pPr>
              <w:spacing w:after="40" w:line="240" w:lineRule="auto"/>
            </w:pPr>
            <w:r>
              <w:rPr>
                <w:rFonts w:ascii="Times New Roman" w:hAnsi="Times New Roman" w:eastAsia="Times New Roman"/>
                <w:sz w:val="24"/>
              </w:rPr>
              <w:t>audio or video &gt;= 0.85</w:t>
            </w:r>
          </w:p>
        </w:tc>
        <w:tc>
          <w:tcPr>
            <w:tcW w:type="dxa" w:w="5400"/>
            <w:vAlign w:val="center"/>
          </w:tcPr>
          <w:p>
            <w:pPr>
              <w:spacing w:after="40" w:line="240" w:lineRule="auto"/>
            </w:pPr>
            <w:r>
              <w:rPr>
                <w:rFonts w:ascii="Times New Roman" w:hAnsi="Times New Roman" w:eastAsia="Times New Roman"/>
                <w:sz w:val="24"/>
              </w:rPr>
              <w:t>The branch returns the maximum available score. It does not unconditionally force a 1.00 score.</w:t>
            </w:r>
          </w:p>
        </w:tc>
      </w:tr>
    </w:tbl>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G  DEPLOYMENT AND OPERATOR RUNBOOK</w:t>
      </w:r>
    </w:p>
    <w:p>
      <w:pPr>
        <w:keepLines/>
        <w:spacing w:line="259" w:lineRule="auto" w:after="100"/>
      </w:pPr>
      <w:r>
        <w:rPr>
          <w:rFonts w:ascii="Times New Roman" w:hAnsi="Times New Roman" w:eastAsia="Times New Roman"/>
          <w:sz w:val="24"/>
        </w:rPr>
        <w:t>The supported container topology contains two services. The backend loads the local weights and provides inference. The frontend serves the built React application through Nginx and forwards `/api` traffic to the backend over the Compose network. The host publishes only the frontend by default at 127.0.0.1:8080. The project calls this local deployment; host-level network isolation, firewall state, and external connectivity have not been independently audited.</w:t>
      </w:r>
    </w:p>
    <w:p>
      <w:pPr>
        <w:pStyle w:val="Heading2"/>
      </w:pPr>
      <w:r>
        <w:rPr>
          <w:rFonts w:ascii="Times New Roman" w:hAnsi="Times New Roman" w:eastAsia="Times New Roman"/>
        </w:rPr>
        <w:t>G.1 Prerequisites and startup</w:t>
      </w:r>
    </w:p>
    <w:p>
      <w:pPr>
        <w:pStyle w:val="ListNumber"/>
      </w:pPr>
      <w:r>
        <w:rPr>
          <w:rFonts w:ascii="Times New Roman" w:hAnsi="Times New Roman" w:eastAsia="Times New Roman"/>
          <w:sz w:val="24"/>
        </w:rPr>
        <w:t>Install Docker Engine and the Docker Compose plugin on the host.</w:t>
      </w:r>
    </w:p>
    <w:p>
      <w:pPr>
        <w:pStyle w:val="ListNumber"/>
      </w:pPr>
      <w:r>
        <w:rPr>
          <w:rFonts w:ascii="Times New Roman" w:hAnsi="Times New Roman" w:eastAsia="Times New Roman"/>
          <w:sz w:val="24"/>
        </w:rPr>
        <w:t>Confirm models/final contains the email tokenizer and weights, audio checkpoint, and active video checkpoint expected by backend/main.py.</w:t>
      </w:r>
    </w:p>
    <w:p>
      <w:pPr>
        <w:pStyle w:val="ListNumber"/>
      </w:pPr>
      <w:r>
        <w:rPr>
          <w:rFonts w:ascii="Times New Roman" w:hAnsi="Times New Roman" w:eastAsia="Times New Roman"/>
          <w:sz w:val="24"/>
        </w:rPr>
        <w:t>Review docker-compose.yml and docs/docker_deployment.md; the model directory is mounted read-only and Transformers offline mode is enabled in the backend container.</w:t>
      </w:r>
    </w:p>
    <w:p>
      <w:pPr>
        <w:pStyle w:val="ListNumber"/>
      </w:pPr>
      <w:r>
        <w:rPr>
          <w:rFonts w:ascii="Times New Roman" w:hAnsi="Times New Roman" w:eastAsia="Times New Roman"/>
          <w:sz w:val="24"/>
        </w:rPr>
        <w:t>Build and start with `docker compose up --build -d` from the project root. The first image build may require package downloads; subsequent inference uses the local checkpoint files.</w:t>
      </w:r>
    </w:p>
    <w:p>
      <w:pPr>
        <w:pStyle w:val="ListNumber"/>
      </w:pPr>
      <w:r>
        <w:rPr>
          <w:rFonts w:ascii="Times New Roman" w:hAnsi="Times New Roman" w:eastAsia="Times New Roman"/>
          <w:sz w:val="24"/>
        </w:rPr>
        <w:t>Check container state with `docker compose ps`. Review backend and frontend service logs if a container exits or remains unhealthy.</w:t>
      </w:r>
    </w:p>
    <w:p>
      <w:pPr>
        <w:pStyle w:val="ListNumber"/>
      </w:pPr>
      <w:r>
        <w:rPr>
          <w:rFonts w:ascii="Times New Roman" w:hAnsi="Times New Roman" w:eastAsia="Times New Roman"/>
          <w:sz w:val="24"/>
        </w:rPr>
        <w:t>Open `http://127.0.0.1:8080`. Verify the health response at `/api/health`; the expected response reports `status: ok` and model availability for email, audio, video and multimodal.</w:t>
      </w:r>
    </w:p>
    <w:p>
      <w:pPr>
        <w:pStyle w:val="Heading2"/>
      </w:pPr>
      <w:r>
        <w:rPr>
          <w:rFonts w:ascii="Times New Roman" w:hAnsi="Times New Roman" w:eastAsia="Times New Roman"/>
        </w:rPr>
        <w:t>G.2 Readiness and shutdown</w:t>
      </w:r>
    </w:p>
    <w:p>
      <w:pPr>
        <w:keepLines/>
        <w:spacing w:line="259" w:lineRule="auto" w:after="100"/>
      </w:pPr>
      <w:r>
        <w:rPr>
          <w:rFonts w:ascii="Times New Roman" w:hAnsi="Times New Roman" w:eastAsia="Times New Roman"/>
          <w:sz w:val="24"/>
        </w:rPr>
        <w:t>The backend health check waits for model initialization and has a start period of 180 seconds. A successful HTTP response is not sufficient if one or more model entries are unavailable. Read each model availability field before using the corresponding scanner. For a graceful stop, run `docker compose down`; this stops the project containers but does not remove local model files or browser history. If the host is restarted, the Compose restart policy is `unless-stopped` and should restart previously enabled services.</w:t>
      </w:r>
    </w:p>
    <w:p>
      <w:pPr>
        <w:pStyle w:val="Heading2"/>
      </w:pPr>
      <w:r>
        <w:rPr>
          <w:rFonts w:ascii="Times New Roman" w:hAnsi="Times New Roman" w:eastAsia="Times New Roman"/>
        </w:rPr>
        <w:t>G.3 Local address and exposure</w:t>
      </w:r>
    </w:p>
    <w:p>
      <w:pPr>
        <w:keepLines/>
        <w:spacing w:line="259" w:lineRule="auto" w:after="100"/>
      </w:pPr>
      <w:r>
        <w:rPr>
          <w:rFonts w:ascii="Times New Roman" w:hAnsi="Times New Roman" w:eastAsia="Times New Roman"/>
          <w:sz w:val="24"/>
        </w:rPr>
        <w:t>The default bind address is 127.0.0.1 to keep the interface reachable from the local machine only. A local `.env` can change SYNTHGUARD_PORT and SYNTHGUARD_BIND. Binding to 0.0.0.0 makes the UI reachable on network interfaces and should only be done with an intentional firewall and access-control plan. The current deployment configuration does not include user authentication, TLS termination, multi-tenant separation, or a server-side audit store.</w:t>
      </w:r>
    </w:p>
    <w:p>
      <w:pPr>
        <w:pStyle w:val="Heading2"/>
      </w:pPr>
      <w:r>
        <w:rPr>
          <w:rFonts w:ascii="Times New Roman" w:hAnsi="Times New Roman" w:eastAsia="Times New Roman"/>
        </w:rPr>
        <w:t>G.4 Routine operator checks</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1944"/>
            <w:vAlign w:val="center"/>
          </w:tcPr>
          <w:p>
            <w:pPr>
              <w:spacing w:after="40" w:line="240" w:lineRule="auto"/>
            </w:pPr>
            <w:r>
              <w:rPr>
                <w:rFonts w:ascii="Times New Roman" w:hAnsi="Times New Roman" w:eastAsia="Times New Roman"/>
                <w:b/>
                <w:sz w:val="24"/>
              </w:rPr>
              <w:t>Check</w:t>
            </w:r>
          </w:p>
        </w:tc>
        <w:tc>
          <w:tcPr>
            <w:tcW w:type="dxa" w:w="3456"/>
            <w:vAlign w:val="center"/>
          </w:tcPr>
          <w:p>
            <w:pPr>
              <w:spacing w:after="40" w:line="240" w:lineRule="auto"/>
            </w:pPr>
            <w:r>
              <w:rPr>
                <w:rFonts w:ascii="Times New Roman" w:hAnsi="Times New Roman" w:eastAsia="Times New Roman"/>
                <w:b/>
                <w:sz w:val="24"/>
              </w:rPr>
              <w:t>Expected observation</w:t>
            </w:r>
          </w:p>
        </w:tc>
        <w:tc>
          <w:tcPr>
            <w:tcW w:type="dxa" w:w="4320"/>
            <w:vAlign w:val="center"/>
          </w:tcPr>
          <w:p>
            <w:pPr>
              <w:spacing w:after="40" w:line="240" w:lineRule="auto"/>
            </w:pPr>
            <w:r>
              <w:rPr>
                <w:rFonts w:ascii="Times New Roman" w:hAnsi="Times New Roman" w:eastAsia="Times New Roman"/>
                <w:b/>
                <w:sz w:val="24"/>
              </w:rPr>
              <w:t>If it differs</w:t>
            </w:r>
          </w:p>
        </w:tc>
      </w:tr>
      <w:tr>
        <w:trPr>
          <w:cantSplit/>
        </w:trPr>
        <w:tc>
          <w:tcPr>
            <w:tcW w:type="dxa" w:w="1944"/>
            <w:vAlign w:val="center"/>
          </w:tcPr>
          <w:p>
            <w:pPr>
              <w:spacing w:after="40" w:line="240" w:lineRule="auto"/>
            </w:pPr>
            <w:r>
              <w:rPr>
                <w:rFonts w:ascii="Times New Roman" w:hAnsi="Times New Roman" w:eastAsia="Times New Roman"/>
                <w:sz w:val="24"/>
              </w:rPr>
              <w:t>Compose state</w:t>
            </w:r>
          </w:p>
        </w:tc>
        <w:tc>
          <w:tcPr>
            <w:tcW w:type="dxa" w:w="3456"/>
            <w:vAlign w:val="center"/>
          </w:tcPr>
          <w:p>
            <w:pPr>
              <w:spacing w:after="40" w:line="240" w:lineRule="auto"/>
            </w:pPr>
            <w:r>
              <w:rPr>
                <w:rFonts w:ascii="Times New Roman" w:hAnsi="Times New Roman" w:eastAsia="Times New Roman"/>
                <w:sz w:val="24"/>
              </w:rPr>
              <w:t>Frontend and backend running; backend healthy</w:t>
            </w:r>
          </w:p>
        </w:tc>
        <w:tc>
          <w:tcPr>
            <w:tcW w:type="dxa" w:w="4320"/>
            <w:vAlign w:val="center"/>
          </w:tcPr>
          <w:p>
            <w:pPr>
              <w:spacing w:after="40" w:line="240" w:lineRule="auto"/>
            </w:pPr>
            <w:r>
              <w:rPr>
                <w:rFonts w:ascii="Times New Roman" w:hAnsi="Times New Roman" w:eastAsia="Times New Roman"/>
                <w:sz w:val="24"/>
              </w:rPr>
              <w:t>Read service logs; verify weight paths, memory and dependency availability.</w:t>
            </w:r>
          </w:p>
        </w:tc>
      </w:tr>
      <w:tr>
        <w:trPr>
          <w:cantSplit/>
        </w:trPr>
        <w:tc>
          <w:tcPr>
            <w:tcW w:type="dxa" w:w="1944"/>
            <w:vAlign w:val="center"/>
          </w:tcPr>
          <w:p>
            <w:pPr>
              <w:spacing w:after="40" w:line="240" w:lineRule="auto"/>
            </w:pPr>
            <w:r>
              <w:rPr>
                <w:rFonts w:ascii="Times New Roman" w:hAnsi="Times New Roman" w:eastAsia="Times New Roman"/>
                <w:sz w:val="24"/>
              </w:rPr>
              <w:t>Health route</w:t>
            </w:r>
          </w:p>
        </w:tc>
        <w:tc>
          <w:tcPr>
            <w:tcW w:type="dxa" w:w="3456"/>
            <w:vAlign w:val="center"/>
          </w:tcPr>
          <w:p>
            <w:pPr>
              <w:spacing w:after="40" w:line="240" w:lineRule="auto"/>
            </w:pPr>
            <w:r>
              <w:rPr>
                <w:rFonts w:ascii="Times New Roman" w:hAnsi="Times New Roman" w:eastAsia="Times New Roman"/>
                <w:sz w:val="24"/>
              </w:rPr>
              <w:t>Each intended model available</w:t>
            </w:r>
          </w:p>
        </w:tc>
        <w:tc>
          <w:tcPr>
            <w:tcW w:type="dxa" w:w="4320"/>
            <w:vAlign w:val="center"/>
          </w:tcPr>
          <w:p>
            <w:pPr>
              <w:spacing w:after="40" w:line="240" w:lineRule="auto"/>
            </w:pPr>
            <w:r>
              <w:rPr>
                <w:rFonts w:ascii="Times New Roman" w:hAnsi="Times New Roman" w:eastAsia="Times New Roman"/>
                <w:sz w:val="24"/>
              </w:rPr>
              <w:t>Do not submit that modality until its local model loads.</w:t>
            </w:r>
          </w:p>
        </w:tc>
      </w:tr>
      <w:tr>
        <w:trPr>
          <w:cantSplit/>
        </w:trPr>
        <w:tc>
          <w:tcPr>
            <w:tcW w:type="dxa" w:w="1944"/>
            <w:vAlign w:val="center"/>
          </w:tcPr>
          <w:p>
            <w:pPr>
              <w:spacing w:after="40" w:line="240" w:lineRule="auto"/>
            </w:pPr>
            <w:r>
              <w:rPr>
                <w:rFonts w:ascii="Times New Roman" w:hAnsi="Times New Roman" w:eastAsia="Times New Roman"/>
                <w:sz w:val="24"/>
              </w:rPr>
              <w:t>Single-modality scan</w:t>
            </w:r>
          </w:p>
        </w:tc>
        <w:tc>
          <w:tcPr>
            <w:tcW w:type="dxa" w:w="3456"/>
            <w:vAlign w:val="center"/>
          </w:tcPr>
          <w:p>
            <w:pPr>
              <w:spacing w:after="40" w:line="240" w:lineRule="auto"/>
            </w:pPr>
            <w:r>
              <w:rPr>
                <w:rFonts w:ascii="Times New Roman" w:hAnsi="Times New Roman" w:eastAsia="Times New Roman"/>
                <w:sz w:val="24"/>
              </w:rPr>
              <w:t>A response includes the matching model name and score</w:t>
            </w:r>
          </w:p>
        </w:tc>
        <w:tc>
          <w:tcPr>
            <w:tcW w:type="dxa" w:w="4320"/>
            <w:vAlign w:val="center"/>
          </w:tcPr>
          <w:p>
            <w:pPr>
              <w:spacing w:after="40" w:line="240" w:lineRule="auto"/>
            </w:pPr>
            <w:r>
              <w:rPr>
                <w:rFonts w:ascii="Times New Roman" w:hAnsi="Times New Roman" w:eastAsia="Times New Roman"/>
                <w:sz w:val="24"/>
              </w:rPr>
              <w:t>Check supported extensions, payload size/duration, and backend error details.</w:t>
            </w:r>
          </w:p>
        </w:tc>
      </w:tr>
      <w:tr>
        <w:trPr>
          <w:cantSplit/>
        </w:trPr>
        <w:tc>
          <w:tcPr>
            <w:tcW w:type="dxa" w:w="1944"/>
            <w:vAlign w:val="center"/>
          </w:tcPr>
          <w:p>
            <w:pPr>
              <w:spacing w:after="40" w:line="240" w:lineRule="auto"/>
            </w:pPr>
            <w:r>
              <w:rPr>
                <w:rFonts w:ascii="Times New Roman" w:hAnsi="Times New Roman" w:eastAsia="Times New Roman"/>
                <w:sz w:val="24"/>
              </w:rPr>
              <w:t>Multimodal scan</w:t>
            </w:r>
          </w:p>
        </w:tc>
        <w:tc>
          <w:tcPr>
            <w:tcW w:type="dxa" w:w="3456"/>
            <w:vAlign w:val="center"/>
          </w:tcPr>
          <w:p>
            <w:pPr>
              <w:spacing w:after="40" w:line="240" w:lineRule="auto"/>
            </w:pPr>
            <w:r>
              <w:rPr>
                <w:rFonts w:ascii="Times New Roman" w:hAnsi="Times New Roman" w:eastAsia="Times New Roman"/>
                <w:sz w:val="24"/>
              </w:rPr>
              <w:t>A status for every modality; omitted sensors marked accordingly</w:t>
            </w:r>
          </w:p>
        </w:tc>
        <w:tc>
          <w:tcPr>
            <w:tcW w:type="dxa" w:w="4320"/>
            <w:vAlign w:val="center"/>
          </w:tcPr>
          <w:p>
            <w:pPr>
              <w:spacing w:after="40" w:line="240" w:lineRule="auto"/>
            </w:pPr>
            <w:r>
              <w:rPr>
                <w:rFonts w:ascii="Times New Roman" w:hAnsi="Times New Roman" w:eastAsia="Times New Roman"/>
                <w:sz w:val="24"/>
              </w:rPr>
              <w:t>Inspect `modality_status` and `modality_errors`; partial responses require review.</w:t>
            </w:r>
          </w:p>
        </w:tc>
      </w:tr>
      <w:tr>
        <w:trPr>
          <w:cantSplit/>
        </w:trPr>
        <w:tc>
          <w:tcPr>
            <w:tcW w:type="dxa" w:w="1944"/>
            <w:vAlign w:val="center"/>
          </w:tcPr>
          <w:p>
            <w:pPr>
              <w:spacing w:after="40" w:line="240" w:lineRule="auto"/>
            </w:pPr>
            <w:r>
              <w:rPr>
                <w:rFonts w:ascii="Times New Roman" w:hAnsi="Times New Roman" w:eastAsia="Times New Roman"/>
                <w:sz w:val="24"/>
              </w:rPr>
              <w:t>Report persistence</w:t>
            </w:r>
          </w:p>
        </w:tc>
        <w:tc>
          <w:tcPr>
            <w:tcW w:type="dxa" w:w="3456"/>
            <w:vAlign w:val="center"/>
          </w:tcPr>
          <w:p>
            <w:pPr>
              <w:spacing w:after="40" w:line="240" w:lineRule="auto"/>
            </w:pPr>
            <w:r>
              <w:rPr>
                <w:rFonts w:ascii="Times New Roman" w:hAnsi="Times New Roman" w:eastAsia="Times New Roman"/>
                <w:sz w:val="24"/>
              </w:rPr>
              <w:t>History appears in the same browser profile after reload</w:t>
            </w:r>
          </w:p>
        </w:tc>
        <w:tc>
          <w:tcPr>
            <w:tcW w:type="dxa" w:w="4320"/>
            <w:vAlign w:val="center"/>
          </w:tcPr>
          <w:p>
            <w:pPr>
              <w:spacing w:after="40" w:line="240" w:lineRule="auto"/>
            </w:pPr>
            <w:r>
              <w:rPr>
                <w:rFonts w:ascii="Times New Roman" w:hAnsi="Times New Roman" w:eastAsia="Times New Roman"/>
                <w:sz w:val="24"/>
              </w:rPr>
              <w:t>Local storage may be cleared or unavailable; it is not a central record.</w:t>
            </w:r>
          </w:p>
        </w:tc>
      </w:tr>
      <w:tr>
        <w:trPr>
          <w:cantSplit/>
        </w:trPr>
        <w:tc>
          <w:tcPr>
            <w:tcW w:type="dxa" w:w="1944"/>
            <w:vAlign w:val="center"/>
          </w:tcPr>
          <w:p>
            <w:pPr>
              <w:spacing w:after="40" w:line="240" w:lineRule="auto"/>
            </w:pPr>
            <w:r>
              <w:rPr>
                <w:rFonts w:ascii="Times New Roman" w:hAnsi="Times New Roman" w:eastAsia="Times New Roman"/>
                <w:sz w:val="24"/>
              </w:rPr>
              <w:t>PDF export</w:t>
            </w:r>
          </w:p>
        </w:tc>
        <w:tc>
          <w:tcPr>
            <w:tcW w:type="dxa" w:w="3456"/>
            <w:vAlign w:val="center"/>
          </w:tcPr>
          <w:p>
            <w:pPr>
              <w:spacing w:after="40" w:line="240" w:lineRule="auto"/>
            </w:pPr>
            <w:r>
              <w:rPr>
                <w:rFonts w:ascii="Times New Roman" w:hAnsi="Times New Roman" w:eastAsia="Times New Roman"/>
                <w:sz w:val="24"/>
              </w:rPr>
              <w:t>Browser downloads one report for the selected analysis</w:t>
            </w:r>
          </w:p>
        </w:tc>
        <w:tc>
          <w:tcPr>
            <w:tcW w:type="dxa" w:w="4320"/>
            <w:vAlign w:val="center"/>
          </w:tcPr>
          <w:p>
            <w:pPr>
              <w:spacing w:after="40" w:line="240" w:lineRule="auto"/>
            </w:pPr>
            <w:r>
              <w:rPr>
                <w:rFonts w:ascii="Times New Roman" w:hAnsi="Times New Roman" w:eastAsia="Times New Roman"/>
                <w:sz w:val="24"/>
              </w:rPr>
              <w:t>Confirm browser download settings and verify the downloaded report ID.</w:t>
            </w:r>
          </w:p>
        </w:tc>
      </w:tr>
    </w:tbl>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H  MODEL AND EVALUATION EVIDENCE REGISTER</w:t>
      </w:r>
    </w:p>
    <w:p>
      <w:pPr>
        <w:keepLines/>
        <w:spacing w:line="259" w:lineRule="auto" w:after="100"/>
      </w:pPr>
      <w:r>
        <w:rPr>
          <w:rFonts w:ascii="Times New Roman" w:hAnsi="Times New Roman" w:eastAsia="Times New Roman"/>
          <w:sz w:val="24"/>
        </w:rPr>
        <w:t>This register identifies the artifacts present in the reviewed project snapshot and the claims that each artifact can support. A model file proves that a checkpoint exists; it does not prove which records were used to train or select it. Dataset names and labels likewise do not establish that a test split is independent from training data.</w:t>
      </w:r>
    </w:p>
    <w:p>
      <w:pPr>
        <w:pStyle w:val="Heading2"/>
      </w:pPr>
      <w:r>
        <w:rPr>
          <w:rFonts w:ascii="Times New Roman" w:hAnsi="Times New Roman" w:eastAsia="Times New Roman"/>
        </w:rPr>
        <w:t>H.1 Model inventory</w:t>
      </w:r>
    </w:p>
    <w:tbl>
      <w:tblPr>
        <w:tblStyle w:val="TableGrid"/>
        <w:tblW w:type="auto" w:w="0"/>
        <w:tblLook w:firstColumn="1" w:firstRow="1" w:lastColumn="0" w:lastRow="0" w:noHBand="0" w:noVBand="1" w:val="04A0"/>
      </w:tblPr>
      <w:tblGrid>
        <w:gridCol w:w="2329"/>
        <w:gridCol w:w="2329"/>
        <w:gridCol w:w="2329"/>
        <w:gridCol w:w="2329"/>
      </w:tblGrid>
      <w:tr>
        <w:trPr>
          <w:tblHeader w:val="true"/>
          <w:cantSplit/>
        </w:trPr>
        <w:tc>
          <w:tcPr>
            <w:tcW w:type="dxa" w:w="1080"/>
            <w:vAlign w:val="center"/>
          </w:tcPr>
          <w:p>
            <w:pPr>
              <w:spacing w:after="40" w:line="240" w:lineRule="auto"/>
            </w:pPr>
            <w:r>
              <w:rPr>
                <w:rFonts w:ascii="Times New Roman" w:hAnsi="Times New Roman" w:eastAsia="Times New Roman"/>
                <w:b/>
                <w:sz w:val="24"/>
              </w:rPr>
              <w:t>Modality</w:t>
            </w:r>
          </w:p>
        </w:tc>
        <w:tc>
          <w:tcPr>
            <w:tcW w:type="dxa" w:w="2376"/>
            <w:vAlign w:val="center"/>
          </w:tcPr>
          <w:p>
            <w:pPr>
              <w:spacing w:after="40" w:line="240" w:lineRule="auto"/>
            </w:pPr>
            <w:r>
              <w:rPr>
                <w:rFonts w:ascii="Times New Roman" w:hAnsi="Times New Roman" w:eastAsia="Times New Roman"/>
                <w:b/>
                <w:sz w:val="24"/>
              </w:rPr>
              <w:t>Active path or configuration</w:t>
            </w:r>
          </w:p>
        </w:tc>
        <w:tc>
          <w:tcPr>
            <w:tcW w:type="dxa" w:w="3240"/>
            <w:vAlign w:val="center"/>
          </w:tcPr>
          <w:p>
            <w:pPr>
              <w:spacing w:after="40" w:line="240" w:lineRule="auto"/>
            </w:pPr>
            <w:r>
              <w:rPr>
                <w:rFonts w:ascii="Times New Roman" w:hAnsi="Times New Roman" w:eastAsia="Times New Roman"/>
                <w:b/>
                <w:sz w:val="24"/>
              </w:rPr>
              <w:t>Implemented processing</w:t>
            </w:r>
          </w:p>
        </w:tc>
        <w:tc>
          <w:tcPr>
            <w:tcW w:type="dxa" w:w="3168"/>
            <w:vAlign w:val="center"/>
          </w:tcPr>
          <w:p>
            <w:pPr>
              <w:spacing w:after="40" w:line="240" w:lineRule="auto"/>
            </w:pPr>
            <w:r>
              <w:rPr>
                <w:rFonts w:ascii="Times New Roman" w:hAnsi="Times New Roman" w:eastAsia="Times New Roman"/>
                <w:b/>
                <w:sz w:val="24"/>
              </w:rPr>
              <w:t>Evidence boundary</w:t>
            </w:r>
          </w:p>
        </w:tc>
      </w:tr>
      <w:tr>
        <w:trPr>
          <w:cantSplit/>
        </w:trPr>
        <w:tc>
          <w:tcPr>
            <w:tcW w:type="dxa" w:w="1080"/>
            <w:vAlign w:val="center"/>
          </w:tcPr>
          <w:p>
            <w:pPr>
              <w:spacing w:after="40" w:line="240" w:lineRule="auto"/>
            </w:pPr>
            <w:r>
              <w:rPr>
                <w:rFonts w:ascii="Times New Roman" w:hAnsi="Times New Roman" w:eastAsia="Times New Roman"/>
                <w:sz w:val="24"/>
              </w:rPr>
              <w:t>Email</w:t>
            </w:r>
          </w:p>
        </w:tc>
        <w:tc>
          <w:tcPr>
            <w:tcW w:type="dxa" w:w="2376"/>
            <w:vAlign w:val="center"/>
          </w:tcPr>
          <w:p>
            <w:pPr>
              <w:spacing w:after="40" w:line="240" w:lineRule="auto"/>
            </w:pPr>
            <w:r>
              <w:rPr>
                <w:rFonts w:ascii="Times New Roman" w:hAnsi="Times New Roman" w:eastAsia="Times New Roman"/>
                <w:sz w:val="24"/>
              </w:rPr>
              <w:t>models/final/phishing_email/model.safetensors plus tokenizer files</w:t>
            </w:r>
          </w:p>
        </w:tc>
        <w:tc>
          <w:tcPr>
            <w:tcW w:type="dxa" w:w="3240"/>
            <w:vAlign w:val="center"/>
          </w:tcPr>
          <w:p>
            <w:pPr>
              <w:spacing w:after="40" w:line="240" w:lineRule="auto"/>
            </w:pPr>
            <w:r>
              <w:rPr>
                <w:rFonts w:ascii="Times New Roman" w:hAnsi="Times New Roman" w:eastAsia="Times New Roman"/>
                <w:sz w:val="24"/>
              </w:rPr>
              <w:t>DistilBERT sequence classifier; truncation/padding to 256 tokens; phishing score from class 1.</w:t>
            </w:r>
          </w:p>
        </w:tc>
        <w:tc>
          <w:tcPr>
            <w:tcW w:type="dxa" w:w="3168"/>
            <w:vAlign w:val="center"/>
          </w:tcPr>
          <w:p>
            <w:pPr>
              <w:spacing w:after="40" w:line="240" w:lineRule="auto"/>
            </w:pPr>
            <w:r>
              <w:rPr>
                <w:rFonts w:ascii="Times New Roman" w:hAnsi="Times New Roman" w:eastAsia="Times New Roman"/>
                <w:sz w:val="24"/>
              </w:rPr>
              <w:t>Checkpoint and tokenizer are present. The current test re-score is reproducible from saved data and checkpoint hash, but training lineage is not verified.</w:t>
            </w:r>
          </w:p>
        </w:tc>
      </w:tr>
      <w:tr>
        <w:trPr>
          <w:cantSplit/>
        </w:trPr>
        <w:tc>
          <w:tcPr>
            <w:tcW w:type="dxa" w:w="1080"/>
            <w:vAlign w:val="center"/>
          </w:tcPr>
          <w:p>
            <w:pPr>
              <w:spacing w:after="40" w:line="240" w:lineRule="auto"/>
            </w:pPr>
            <w:r>
              <w:rPr>
                <w:rFonts w:ascii="Times New Roman" w:hAnsi="Times New Roman" w:eastAsia="Times New Roman"/>
                <w:sz w:val="24"/>
              </w:rPr>
              <w:t>Audio</w:t>
            </w:r>
          </w:p>
        </w:tc>
        <w:tc>
          <w:tcPr>
            <w:tcW w:type="dxa" w:w="2376"/>
            <w:vAlign w:val="center"/>
          </w:tcPr>
          <w:p>
            <w:pPr>
              <w:spacing w:after="40" w:line="240" w:lineRule="auto"/>
            </w:pPr>
            <w:r>
              <w:rPr>
                <w:rFonts w:ascii="Times New Roman" w:hAnsi="Times New Roman" w:eastAsia="Times New Roman"/>
                <w:sz w:val="24"/>
              </w:rPr>
              <w:t>models/final/audio_detector/audio_cnn_model.pth</w:t>
            </w:r>
          </w:p>
        </w:tc>
        <w:tc>
          <w:tcPr>
            <w:tcW w:type="dxa" w:w="3240"/>
            <w:vAlign w:val="center"/>
          </w:tcPr>
          <w:p>
            <w:pPr>
              <w:spacing w:after="40" w:line="240" w:lineRule="auto"/>
            </w:pPr>
            <w:r>
              <w:rPr>
                <w:rFonts w:ascii="Times New Roman" w:hAnsi="Times New Roman" w:eastAsia="Times New Roman"/>
                <w:sz w:val="24"/>
              </w:rPr>
              <w:t>16 kHz decode; 40 MFCC coefficients; 2,048 FFT window; 512 hop; zero-pad/truncate to 300 frames; three-block CNN.</w:t>
            </w:r>
          </w:p>
        </w:tc>
        <w:tc>
          <w:tcPr>
            <w:tcW w:type="dxa" w:w="3168"/>
            <w:vAlign w:val="center"/>
          </w:tcPr>
          <w:p>
            <w:pPr>
              <w:spacing w:after="40" w:line="240" w:lineRule="auto"/>
            </w:pPr>
            <w:r>
              <w:rPr>
                <w:rFonts w:ascii="Times New Roman" w:hAnsi="Times New Roman" w:eastAsia="Times New Roman"/>
                <w:sz w:val="24"/>
              </w:rPr>
              <w:t>Checkpoint and reconstructed predictions are present. The 500-row split is sample-random and lacks source grouping; checkpoint identity to the training log is unresolved.</w:t>
            </w:r>
          </w:p>
        </w:tc>
      </w:tr>
      <w:tr>
        <w:trPr>
          <w:cantSplit/>
        </w:trPr>
        <w:tc>
          <w:tcPr>
            <w:tcW w:type="dxa" w:w="1080"/>
            <w:vAlign w:val="center"/>
          </w:tcPr>
          <w:p>
            <w:pPr>
              <w:spacing w:after="40" w:line="240" w:lineRule="auto"/>
            </w:pPr>
            <w:r>
              <w:rPr>
                <w:rFonts w:ascii="Times New Roman" w:hAnsi="Times New Roman" w:eastAsia="Times New Roman"/>
                <w:sz w:val="24"/>
              </w:rPr>
              <w:t>Video</w:t>
            </w:r>
          </w:p>
        </w:tc>
        <w:tc>
          <w:tcPr>
            <w:tcW w:type="dxa" w:w="2376"/>
            <w:vAlign w:val="center"/>
          </w:tcPr>
          <w:p>
            <w:pPr>
              <w:spacing w:after="40" w:line="240" w:lineRule="auto"/>
            </w:pPr>
            <w:r>
              <w:rPr>
                <w:rFonts w:ascii="Times New Roman" w:hAnsi="Times New Roman" w:eastAsia="Times New Roman"/>
                <w:sz w:val="24"/>
              </w:rPr>
              <w:t>models/final/video_detector/model.safetensors_2</w:t>
            </w:r>
          </w:p>
        </w:tc>
        <w:tc>
          <w:tcPr>
            <w:tcW w:type="dxa" w:w="3240"/>
            <w:vAlign w:val="center"/>
          </w:tcPr>
          <w:p>
            <w:pPr>
              <w:spacing w:after="40" w:line="240" w:lineRule="auto"/>
            </w:pPr>
            <w:r>
              <w:rPr>
                <w:rFonts w:ascii="Times New Roman" w:hAnsi="Times New Roman" w:eastAsia="Times New Roman"/>
                <w:sz w:val="24"/>
              </w:rPr>
              <w:t>Sample video frames; MTCNN face detection; crop and resize; EfficientNet-B0 score averaging over up to five faces.</w:t>
            </w:r>
          </w:p>
        </w:tc>
        <w:tc>
          <w:tcPr>
            <w:tcW w:type="dxa" w:w="3168"/>
            <w:vAlign w:val="center"/>
          </w:tcPr>
          <w:p>
            <w:pPr>
              <w:spacing w:after="40" w:line="240" w:lineRule="auto"/>
            </w:pPr>
            <w:r>
              <w:rPr>
                <w:rFonts w:ascii="Times New Roman" w:hAnsi="Times New Roman" w:eastAsia="Times New Roman"/>
                <w:sz w:val="24"/>
              </w:rPr>
              <w:t>Active checkpoint is present. No source-disjoint held-out test export or calibration record was found.</w:t>
            </w:r>
          </w:p>
        </w:tc>
      </w:tr>
      <w:tr>
        <w:trPr>
          <w:cantSplit/>
        </w:trPr>
        <w:tc>
          <w:tcPr>
            <w:tcW w:type="dxa" w:w="1080"/>
            <w:vAlign w:val="center"/>
          </w:tcPr>
          <w:p>
            <w:pPr>
              <w:spacing w:after="40" w:line="240" w:lineRule="auto"/>
            </w:pPr>
            <w:r>
              <w:rPr>
                <w:rFonts w:ascii="Times New Roman" w:hAnsi="Times New Roman" w:eastAsia="Times New Roman"/>
                <w:sz w:val="24"/>
              </w:rPr>
              <w:t>Fusion</w:t>
            </w:r>
          </w:p>
        </w:tc>
        <w:tc>
          <w:tcPr>
            <w:tcW w:type="dxa" w:w="2376"/>
            <w:vAlign w:val="center"/>
          </w:tcPr>
          <w:p>
            <w:pPr>
              <w:spacing w:after="40" w:line="240" w:lineRule="auto"/>
            </w:pPr>
            <w:r>
              <w:rPr>
                <w:rFonts w:ascii="Times New Roman" w:hAnsi="Times New Roman" w:eastAsia="Times New Roman"/>
                <w:sz w:val="24"/>
              </w:rPr>
              <w:t>src/fusion.py</w:t>
            </w:r>
          </w:p>
        </w:tc>
        <w:tc>
          <w:tcPr>
            <w:tcW w:type="dxa" w:w="3240"/>
            <w:vAlign w:val="center"/>
          </w:tcPr>
          <w:p>
            <w:pPr>
              <w:spacing w:after="40" w:line="240" w:lineRule="auto"/>
            </w:pPr>
            <w:r>
              <w:rPr>
                <w:rFonts w:ascii="Times New Roman" w:hAnsi="Times New Roman" w:eastAsia="Times New Roman"/>
                <w:sz w:val="24"/>
              </w:rPr>
              <w:t>Equal nominal weights renormalized over available scores; audio/video veto at 0.85 returns maximum score; 0.50 decision boundary.</w:t>
            </w:r>
          </w:p>
        </w:tc>
        <w:tc>
          <w:tcPr>
            <w:tcW w:type="dxa" w:w="3168"/>
            <w:vAlign w:val="center"/>
          </w:tcPr>
          <w:p>
            <w:pPr>
              <w:spacing w:after="40" w:line="240" w:lineRule="auto"/>
            </w:pPr>
            <w:r>
              <w:rPr>
                <w:rFonts w:ascii="Times New Roman" w:hAnsi="Times New Roman" w:eastAsia="Times New Roman"/>
                <w:sz w:val="24"/>
              </w:rPr>
              <w:t>Software behavior is directly inspectable. No authentic paired scenario evaluation supports an accuracy claim.</w:t>
            </w:r>
          </w:p>
        </w:tc>
      </w:tr>
    </w:tbl>
    <w:p>
      <w:pPr>
        <w:pStyle w:val="Heading2"/>
      </w:pPr>
      <w:r>
        <w:rPr>
          <w:rFonts w:ascii="Times New Roman" w:hAnsi="Times New Roman" w:eastAsia="Times New Roman"/>
        </w:rPr>
        <w:t>H.2 Email diagnostic re-score</w:t>
      </w:r>
    </w:p>
    <w:p>
      <w:pPr>
        <w:keepLines/>
        <w:spacing w:line="259" w:lineRule="auto" w:after="100"/>
      </w:pPr>
      <w:r>
        <w:rPr>
          <w:rFonts w:ascii="Times New Roman" w:hAnsi="Times New Roman" w:eastAsia="Times New Roman"/>
          <w:sz w:val="24"/>
        </w:rPr>
        <w:t>The current output in outputs/reports/email_test_metrics.json records an email re-score of the saved test pickle through the active local API. At threshold 0.50 it reports N=3,508; TP=1,308; TN=2,023; FP=173; and FN=4. Derived metrics are accuracy 94.95%, precision 88.32%, recall 99.70%, FPR 7.88%, and FNR 0.30%. The paired row file is outputs/reports/email_test_predictions.csv. The output includes a dataset hash and checkpoint hash. Its qualification states that training provenance is unknown; therefore, it is a checkpoint re-score, not proven held-out performance. One input exceeded the API character limit and was clipped. The 3,507-row unclipped subset yields 94.98% accuracy and 7.84% FPR, showing that this one clipped row does not account for the difference from the older Colab report.</w:t>
      </w:r>
    </w:p>
    <w:p>
      <w:pPr>
        <w:pStyle w:val="Heading2"/>
      </w:pPr>
      <w:r>
        <w:rPr>
          <w:rFonts w:ascii="Times New Roman" w:hAnsi="Times New Roman" w:eastAsia="Times New Roman"/>
        </w:rPr>
        <w:t>H.3 Audio diagnostic re-score</w:t>
      </w:r>
    </w:p>
    <w:p>
      <w:pPr>
        <w:keepLines/>
        <w:spacing w:line="259" w:lineRule="auto" w:after="100"/>
      </w:pPr>
      <w:r>
        <w:rPr>
          <w:rFonts w:ascii="Times New Roman" w:hAnsi="Times New Roman" w:eastAsia="Times New Roman"/>
          <w:sz w:val="24"/>
        </w:rPr>
        <w:t>outputs/reports/audio_reconstructed_test_metrics.json records 500 rows reconstructed from the supplied Colab feature-batch ordering using a stratified random row split with random_state 42. It contains 449 spoof and 51 genuine samples. At both threshold 0.50 and the deployed threshold 0.45, the recorded counts are TP=448, TN=46, FP=5, FN=1; accuracy is 98.8%, precision 98.90%, recall 99.78%, FPR 9.80%, FNR 0.22%, and ROC AUC 99.75%. These estimates are highly uncertain for the genuine class because only 51 benign examples are in the reconstructed test set. The split has no speaker/session/source IDs; the checkpoint hash cannot be matched to the Colab artifact. Present it only as a diagnostic reconstruction, not a source-disjoint benchmark.</w:t>
      </w:r>
    </w:p>
    <w:p>
      <w:pPr>
        <w:pStyle w:val="Heading2"/>
      </w:pPr>
      <w:r>
        <w:rPr>
          <w:rFonts w:ascii="Times New Roman" w:hAnsi="Times New Roman" w:eastAsia="Times New Roman"/>
        </w:rPr>
        <w:t>H.4 Video and fusion evidence status</w:t>
      </w:r>
    </w:p>
    <w:p>
      <w:pPr>
        <w:keepLines/>
        <w:spacing w:line="259" w:lineRule="auto" w:after="100"/>
      </w:pPr>
      <w:r>
        <w:rPr>
          <w:rFonts w:ascii="Times New Roman" w:hAnsi="Times New Roman" w:eastAsia="Times New Roman"/>
          <w:sz w:val="24"/>
        </w:rPr>
        <w:t>The video training excerpt supplied during project review reports validation accuracy during a random split of cached face tensors. The log does not establish source-video grouping and refers to a checkpoint export that is not the same named file as the active `model.safetensors_2` checkpoint. It cannot be used as the active model’s test accuracy. The fallback tau=0.7920 is loaded when no calibration file is present; the transformation shifts logits so that tau maps to 0.50. It is a score recentering rule, not evidence of empirically verified probability calibration.</w:t>
      </w:r>
    </w:p>
    <w:p>
      <w:pPr>
        <w:keepLines/>
        <w:spacing w:line="259" w:lineRule="auto" w:after="100"/>
      </w:pPr>
      <w:r>
        <w:rPr>
          <w:rFonts w:ascii="Times New Roman" w:hAnsi="Times New Roman" w:eastAsia="Times New Roman"/>
          <w:sz w:val="24"/>
        </w:rPr>
        <w:t>The old ablation CSV contains percentages from a former pipeline. outputs/reports/README.md records that it paired independent modality datasets by labels and selected a video threshold on the same records used for scoring. The new runner requires scenario-level correspondence, group-separated validation and test records, and separate per-scenario predictions. No completed authentic paired manifest or new result bundle was found, so the old table is omitted from all claims in this report.</w:t>
      </w:r>
    </w:p>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I  REPRODUCIBLE EVALUATION PROTOCOL</w:t>
      </w:r>
    </w:p>
    <w:p>
      <w:pPr>
        <w:keepLines/>
        <w:spacing w:line="259" w:lineRule="auto" w:after="100"/>
      </w:pPr>
      <w:r>
        <w:rPr>
          <w:rFonts w:ascii="Times New Roman" w:hAnsi="Times New Roman" w:eastAsia="Times New Roman"/>
          <w:sz w:val="24"/>
        </w:rPr>
        <w:t>The protocol below turns current diagnostics into a stronger, auditable evaluation. It separates re-scoring from model training, keeps source groups intact, freezes thresholds before the test set is scored, and publishes enough information for another reviewer to reproduce the reported counts.</w:t>
      </w:r>
    </w:p>
    <w:p>
      <w:pPr>
        <w:pStyle w:val="Heading2"/>
      </w:pPr>
      <w:r>
        <w:rPr>
          <w:rFonts w:ascii="Times New Roman" w:hAnsi="Times New Roman" w:eastAsia="Times New Roman"/>
        </w:rPr>
        <w:t>I.1 Email checkpoint lineage</w:t>
      </w:r>
    </w:p>
    <w:p>
      <w:pPr>
        <w:pStyle w:val="ListNumber"/>
      </w:pPr>
      <w:r>
        <w:rPr>
          <w:rFonts w:ascii="Times New Roman" w:hAnsi="Times New Roman" w:eastAsia="Times New Roman"/>
          <w:sz w:val="24"/>
        </w:rPr>
        <w:t>Record the SHA-256 of the active checkpoint, tokenizer, training and test datasets, and prediction script version.</w:t>
      </w:r>
    </w:p>
    <w:p>
      <w:pPr>
        <w:pStyle w:val="ListNumber"/>
      </w:pPr>
      <w:r>
        <w:rPr>
          <w:rFonts w:ascii="Times New Roman" w:hAnsi="Times New Roman" w:eastAsia="Times New Roman"/>
          <w:sz w:val="24"/>
        </w:rPr>
        <w:t>Recover the exact training notebook or run log that created the active checkpoint. Confirm whether any test examples were used for training, early stopping, threshold selection, or model selection.</w:t>
      </w:r>
    </w:p>
    <w:p>
      <w:pPr>
        <w:pStyle w:val="ListNumber"/>
      </w:pPr>
      <w:r>
        <w:rPr>
          <w:rFonts w:ascii="Times New Roman" w:hAnsi="Times New Roman" w:eastAsia="Times New Roman"/>
          <w:sz w:val="24"/>
        </w:rPr>
        <w:t>Re-score the fixed test pickle with no preprocessing changes. Export one row per example with sample ID, true label, raw score, predicted label, threshold, and whether input truncation or clipping occurred.</w:t>
      </w:r>
    </w:p>
    <w:p>
      <w:pPr>
        <w:pStyle w:val="ListNumber"/>
      </w:pPr>
      <w:r>
        <w:rPr>
          <w:rFonts w:ascii="Times New Roman" w:hAnsi="Times New Roman" w:eastAsia="Times New Roman"/>
          <w:sz w:val="24"/>
        </w:rPr>
        <w:t>Compute TP, TN, FP, FN directly from that CSV; report class denominators and metrics at the predeclared 0.50 threshold.</w:t>
      </w:r>
    </w:p>
    <w:p>
      <w:pPr>
        <w:pStyle w:val="ListNumber"/>
      </w:pPr>
      <w:r>
        <w:rPr>
          <w:rFonts w:ascii="Times New Roman" w:hAnsi="Times New Roman" w:eastAsia="Times New Roman"/>
          <w:sz w:val="24"/>
        </w:rPr>
        <w:t>If lineage cannot be established, label the output diagnostic re-score and do not call it a held-out estimate. Create a new source-aware split and retrain only if the study needs defensible generalization metrics.</w:t>
      </w:r>
    </w:p>
    <w:p>
      <w:pPr>
        <w:pStyle w:val="Heading2"/>
      </w:pPr>
      <w:r>
        <w:rPr>
          <w:rFonts w:ascii="Times New Roman" w:hAnsi="Times New Roman" w:eastAsia="Times New Roman"/>
        </w:rPr>
        <w:t>I.2 Audio and video split design</w:t>
      </w:r>
    </w:p>
    <w:p>
      <w:pPr>
        <w:keepLines/>
        <w:spacing w:line="259" w:lineRule="auto" w:after="100"/>
      </w:pPr>
      <w:r>
        <w:rPr>
          <w:rFonts w:ascii="Times New Roman" w:hAnsi="Times New Roman" w:eastAsia="Times New Roman"/>
          <w:sz w:val="24"/>
        </w:rPr>
        <w:t>Audio records must carry a stable speaker, session, recording, or source ID. Related segments from one recording must not be distributed across training, validation, and test. Video records must carry source video, actor, and manipulation-pair identifiers where available; original and manipulated versions derived from the same source must remain in one split. Use group-stratified assignment where feasible, publish the split manifest, and report class counts and excluded/failed samples.</w:t>
      </w:r>
    </w:p>
    <w:p>
      <w:pPr>
        <w:keepLines/>
        <w:spacing w:line="259" w:lineRule="auto" w:after="100"/>
      </w:pPr>
      <w:r>
        <w:rPr>
          <w:rFonts w:ascii="Times New Roman" w:hAnsi="Times New Roman" w:eastAsia="Times New Roman"/>
          <w:sz w:val="24"/>
        </w:rPr>
        <w:t>Threshold selection belongs on validation data. For video, record the validation manifest hash, active checkpoint hash, candidate metric and threshold selection rule, then freeze the selected value before the test pass. Do not select tau or the final decision boundary by looking at test outcomes. Store raw scores as well as transformed scores so the effect of the calibration step can be inspected.</w:t>
      </w:r>
    </w:p>
    <w:p>
      <w:pPr>
        <w:pStyle w:val="Heading2"/>
      </w:pPr>
      <w:r>
        <w:rPr>
          <w:rFonts w:ascii="Times New Roman" w:hAnsi="Times New Roman" w:eastAsia="Times New Roman"/>
        </w:rPr>
        <w:t>I.3 Paired fusion scenario protocol</w:t>
      </w:r>
    </w:p>
    <w:p>
      <w:pPr>
        <w:keepLines/>
        <w:spacing w:line="259" w:lineRule="auto" w:after="100"/>
      </w:pPr>
      <w:r>
        <w:rPr>
          <w:rFonts w:ascii="Times New Roman" w:hAnsi="Times New Roman" w:eastAsia="Times New Roman"/>
          <w:sz w:val="24"/>
        </w:rPr>
        <w:t>A fusion row represents one genuine investigation scenario, not merely one threat label. Email, voice, and video must be linked to the same scenario where present. Record the overall scenario label separately from each modality label because a threat scenario can contain genuine audio or video, and a benign scenario may include a spoofed artifact used for a robustness test. Assign group_id to campaigns, actors, or source material and keep each group entirely within validation or test. Keep the written label policy independent of model outputs.</w:t>
      </w:r>
    </w:p>
    <w:p>
      <w:pPr>
        <w:keepLines/>
        <w:spacing w:line="259" w:lineRule="auto" w:after="100"/>
      </w:pPr>
      <w:r>
        <w:rPr>
          <w:rFonts w:ascii="Times New Roman" w:hAnsi="Times New Roman" w:eastAsia="Times New Roman"/>
          <w:sz w:val="24"/>
        </w:rPr>
        <w:t>Run the seven sensor subsets (email, audio, video, email+audio, email+video, audio+video, and all three) on rows with full coverage for the corresponding subset. Compare naive weighting, equal weighting, and veto only on equivalent subsets. Report coverage, confusion counts, per-scenario scores, group-bootstrap confidence intervals, checkpoint hashes, thresholds, manifest hash, runtime, and failure reasons. If pair authenticity is synthetic or scripted, report logic/stress-test outcomes rather than real-world accuracy.</w:t>
      </w:r>
    </w:p>
    <w:p>
      <w:pPr>
        <w:pStyle w:val="Heading2"/>
      </w:pPr>
      <w:r>
        <w:rPr>
          <w:rFonts w:ascii="Times New Roman" w:hAnsi="Times New Roman" w:eastAsia="Times New Roman"/>
        </w:rPr>
        <w:t>I.4 Metric formulas and reporting</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1728"/>
            <w:vAlign w:val="center"/>
          </w:tcPr>
          <w:p>
            <w:pPr>
              <w:spacing w:after="40" w:line="240" w:lineRule="auto"/>
            </w:pPr>
            <w:r>
              <w:rPr>
                <w:rFonts w:ascii="Times New Roman" w:hAnsi="Times New Roman" w:eastAsia="Times New Roman"/>
                <w:b/>
                <w:sz w:val="24"/>
              </w:rPr>
              <w:t>Metric</w:t>
            </w:r>
          </w:p>
        </w:tc>
        <w:tc>
          <w:tcPr>
            <w:tcW w:type="dxa" w:w="3168"/>
            <w:vAlign w:val="center"/>
          </w:tcPr>
          <w:p>
            <w:pPr>
              <w:spacing w:after="40" w:line="240" w:lineRule="auto"/>
            </w:pPr>
            <w:r>
              <w:rPr>
                <w:rFonts w:ascii="Times New Roman" w:hAnsi="Times New Roman" w:eastAsia="Times New Roman"/>
                <w:b/>
                <w:sz w:val="24"/>
              </w:rPr>
              <w:t>Definition</w:t>
            </w:r>
          </w:p>
        </w:tc>
        <w:tc>
          <w:tcPr>
            <w:tcW w:type="dxa" w:w="5040"/>
            <w:vAlign w:val="center"/>
          </w:tcPr>
          <w:p>
            <w:pPr>
              <w:spacing w:after="40" w:line="240" w:lineRule="auto"/>
            </w:pPr>
            <w:r>
              <w:rPr>
                <w:rFonts w:ascii="Times New Roman" w:hAnsi="Times New Roman" w:eastAsia="Times New Roman"/>
                <w:b/>
                <w:sz w:val="24"/>
              </w:rPr>
              <w:t>Interpretation</w:t>
            </w:r>
          </w:p>
        </w:tc>
      </w:tr>
      <w:tr>
        <w:trPr>
          <w:cantSplit/>
        </w:trPr>
        <w:tc>
          <w:tcPr>
            <w:tcW w:type="dxa" w:w="1728"/>
            <w:vAlign w:val="center"/>
          </w:tcPr>
          <w:p>
            <w:pPr>
              <w:spacing w:after="40" w:line="240" w:lineRule="auto"/>
            </w:pPr>
            <w:r>
              <w:rPr>
                <w:rFonts w:ascii="Times New Roman" w:hAnsi="Times New Roman" w:eastAsia="Times New Roman"/>
                <w:sz w:val="24"/>
              </w:rPr>
              <w:t>Accuracy</w:t>
            </w:r>
          </w:p>
        </w:tc>
        <w:tc>
          <w:tcPr>
            <w:tcW w:type="dxa" w:w="3168"/>
            <w:vAlign w:val="center"/>
          </w:tcPr>
          <w:p>
            <w:pPr>
              <w:spacing w:after="40" w:line="240" w:lineRule="auto"/>
            </w:pPr>
            <w:r>
              <w:rPr>
                <w:rFonts w:ascii="Times New Roman" w:hAnsi="Times New Roman" w:eastAsia="Times New Roman"/>
                <w:sz w:val="24"/>
              </w:rPr>
              <w:t>(TP + TN) / (TP + TN + FP + FN)</w:t>
            </w:r>
          </w:p>
        </w:tc>
        <w:tc>
          <w:tcPr>
            <w:tcW w:type="dxa" w:w="5040"/>
            <w:vAlign w:val="center"/>
          </w:tcPr>
          <w:p>
            <w:pPr>
              <w:spacing w:after="40" w:line="240" w:lineRule="auto"/>
            </w:pPr>
            <w:r>
              <w:rPr>
                <w:rFonts w:ascii="Times New Roman" w:hAnsi="Times New Roman" w:eastAsia="Times New Roman"/>
                <w:sz w:val="24"/>
              </w:rPr>
              <w:t>Share of evaluated examples classified correctly; depends on class mix.</w:t>
            </w:r>
          </w:p>
        </w:tc>
      </w:tr>
      <w:tr>
        <w:trPr>
          <w:cantSplit/>
        </w:trPr>
        <w:tc>
          <w:tcPr>
            <w:tcW w:type="dxa" w:w="1728"/>
            <w:vAlign w:val="center"/>
          </w:tcPr>
          <w:p>
            <w:pPr>
              <w:spacing w:after="40" w:line="240" w:lineRule="auto"/>
            </w:pPr>
            <w:r>
              <w:rPr>
                <w:rFonts w:ascii="Times New Roman" w:hAnsi="Times New Roman" w:eastAsia="Times New Roman"/>
                <w:sz w:val="24"/>
              </w:rPr>
              <w:t>Precision</w:t>
            </w:r>
          </w:p>
        </w:tc>
        <w:tc>
          <w:tcPr>
            <w:tcW w:type="dxa" w:w="3168"/>
            <w:vAlign w:val="center"/>
          </w:tcPr>
          <w:p>
            <w:pPr>
              <w:spacing w:after="40" w:line="240" w:lineRule="auto"/>
            </w:pPr>
            <w:r>
              <w:rPr>
                <w:rFonts w:ascii="Times New Roman" w:hAnsi="Times New Roman" w:eastAsia="Times New Roman"/>
                <w:sz w:val="24"/>
              </w:rPr>
              <w:t>TP / (TP + FP)</w:t>
            </w:r>
          </w:p>
        </w:tc>
        <w:tc>
          <w:tcPr>
            <w:tcW w:type="dxa" w:w="5040"/>
            <w:vAlign w:val="center"/>
          </w:tcPr>
          <w:p>
            <w:pPr>
              <w:spacing w:after="40" w:line="240" w:lineRule="auto"/>
            </w:pPr>
            <w:r>
              <w:rPr>
                <w:rFonts w:ascii="Times New Roman" w:hAnsi="Times New Roman" w:eastAsia="Times New Roman"/>
                <w:sz w:val="24"/>
              </w:rPr>
              <w:t>How often predicted threats are true threats in the evaluation sample.</w:t>
            </w:r>
          </w:p>
        </w:tc>
      </w:tr>
      <w:tr>
        <w:trPr>
          <w:cantSplit/>
        </w:trPr>
        <w:tc>
          <w:tcPr>
            <w:tcW w:type="dxa" w:w="1728"/>
            <w:vAlign w:val="center"/>
          </w:tcPr>
          <w:p>
            <w:pPr>
              <w:spacing w:after="40" w:line="240" w:lineRule="auto"/>
            </w:pPr>
            <w:r>
              <w:rPr>
                <w:rFonts w:ascii="Times New Roman" w:hAnsi="Times New Roman" w:eastAsia="Times New Roman"/>
                <w:sz w:val="24"/>
              </w:rPr>
              <w:t>Recall / TPR</w:t>
            </w:r>
          </w:p>
        </w:tc>
        <w:tc>
          <w:tcPr>
            <w:tcW w:type="dxa" w:w="3168"/>
            <w:vAlign w:val="center"/>
          </w:tcPr>
          <w:p>
            <w:pPr>
              <w:spacing w:after="40" w:line="240" w:lineRule="auto"/>
            </w:pPr>
            <w:r>
              <w:rPr>
                <w:rFonts w:ascii="Times New Roman" w:hAnsi="Times New Roman" w:eastAsia="Times New Roman"/>
                <w:sz w:val="24"/>
              </w:rPr>
              <w:t>TP / (TP + FN)</w:t>
            </w:r>
          </w:p>
        </w:tc>
        <w:tc>
          <w:tcPr>
            <w:tcW w:type="dxa" w:w="5040"/>
            <w:vAlign w:val="center"/>
          </w:tcPr>
          <w:p>
            <w:pPr>
              <w:spacing w:after="40" w:line="240" w:lineRule="auto"/>
            </w:pPr>
            <w:r>
              <w:rPr>
                <w:rFonts w:ascii="Times New Roman" w:hAnsi="Times New Roman" w:eastAsia="Times New Roman"/>
                <w:sz w:val="24"/>
              </w:rPr>
              <w:t>Fraction of threat examples detected.</w:t>
            </w:r>
          </w:p>
        </w:tc>
      </w:tr>
      <w:tr>
        <w:trPr>
          <w:cantSplit/>
        </w:trPr>
        <w:tc>
          <w:tcPr>
            <w:tcW w:type="dxa" w:w="1728"/>
            <w:vAlign w:val="center"/>
          </w:tcPr>
          <w:p>
            <w:pPr>
              <w:spacing w:after="40" w:line="240" w:lineRule="auto"/>
            </w:pPr>
            <w:r>
              <w:rPr>
                <w:rFonts w:ascii="Times New Roman" w:hAnsi="Times New Roman" w:eastAsia="Times New Roman"/>
                <w:sz w:val="24"/>
              </w:rPr>
              <w:t>FPR</w:t>
            </w:r>
          </w:p>
        </w:tc>
        <w:tc>
          <w:tcPr>
            <w:tcW w:type="dxa" w:w="3168"/>
            <w:vAlign w:val="center"/>
          </w:tcPr>
          <w:p>
            <w:pPr>
              <w:spacing w:after="40" w:line="240" w:lineRule="auto"/>
            </w:pPr>
            <w:r>
              <w:rPr>
                <w:rFonts w:ascii="Times New Roman" w:hAnsi="Times New Roman" w:eastAsia="Times New Roman"/>
                <w:sz w:val="24"/>
              </w:rPr>
              <w:t>FP / (FP + TN)</w:t>
            </w:r>
          </w:p>
        </w:tc>
        <w:tc>
          <w:tcPr>
            <w:tcW w:type="dxa" w:w="5040"/>
            <w:vAlign w:val="center"/>
          </w:tcPr>
          <w:p>
            <w:pPr>
              <w:spacing w:after="40" w:line="240" w:lineRule="auto"/>
            </w:pPr>
            <w:r>
              <w:rPr>
                <w:rFonts w:ascii="Times New Roman" w:hAnsi="Times New Roman" w:eastAsia="Times New Roman"/>
                <w:sz w:val="24"/>
              </w:rPr>
              <w:t>Fraction of benign examples incorrectly escalated.</w:t>
            </w:r>
          </w:p>
        </w:tc>
      </w:tr>
      <w:tr>
        <w:trPr>
          <w:cantSplit/>
        </w:trPr>
        <w:tc>
          <w:tcPr>
            <w:tcW w:type="dxa" w:w="1728"/>
            <w:vAlign w:val="center"/>
          </w:tcPr>
          <w:p>
            <w:pPr>
              <w:spacing w:after="40" w:line="240" w:lineRule="auto"/>
            </w:pPr>
            <w:r>
              <w:rPr>
                <w:rFonts w:ascii="Times New Roman" w:hAnsi="Times New Roman" w:eastAsia="Times New Roman"/>
                <w:sz w:val="24"/>
              </w:rPr>
              <w:t>FNR</w:t>
            </w:r>
          </w:p>
        </w:tc>
        <w:tc>
          <w:tcPr>
            <w:tcW w:type="dxa" w:w="3168"/>
            <w:vAlign w:val="center"/>
          </w:tcPr>
          <w:p>
            <w:pPr>
              <w:spacing w:after="40" w:line="240" w:lineRule="auto"/>
            </w:pPr>
            <w:r>
              <w:rPr>
                <w:rFonts w:ascii="Times New Roman" w:hAnsi="Times New Roman" w:eastAsia="Times New Roman"/>
                <w:sz w:val="24"/>
              </w:rPr>
              <w:t>FN / (FN + TP)</w:t>
            </w:r>
          </w:p>
        </w:tc>
        <w:tc>
          <w:tcPr>
            <w:tcW w:type="dxa" w:w="5040"/>
            <w:vAlign w:val="center"/>
          </w:tcPr>
          <w:p>
            <w:pPr>
              <w:spacing w:after="40" w:line="240" w:lineRule="auto"/>
            </w:pPr>
            <w:r>
              <w:rPr>
                <w:rFonts w:ascii="Times New Roman" w:hAnsi="Times New Roman" w:eastAsia="Times New Roman"/>
                <w:sz w:val="24"/>
              </w:rPr>
              <w:t>Fraction of threat examples missed.</w:t>
            </w:r>
          </w:p>
        </w:tc>
      </w:tr>
      <w:tr>
        <w:trPr>
          <w:cantSplit/>
        </w:trPr>
        <w:tc>
          <w:tcPr>
            <w:tcW w:type="dxa" w:w="1728"/>
            <w:vAlign w:val="center"/>
          </w:tcPr>
          <w:p>
            <w:pPr>
              <w:spacing w:after="40" w:line="240" w:lineRule="auto"/>
            </w:pPr>
            <w:r>
              <w:rPr>
                <w:rFonts w:ascii="Times New Roman" w:hAnsi="Times New Roman" w:eastAsia="Times New Roman"/>
                <w:sz w:val="24"/>
              </w:rPr>
              <w:t>ROC AUC</w:t>
            </w:r>
          </w:p>
        </w:tc>
        <w:tc>
          <w:tcPr>
            <w:tcW w:type="dxa" w:w="3168"/>
            <w:vAlign w:val="center"/>
          </w:tcPr>
          <w:p>
            <w:pPr>
              <w:spacing w:after="40" w:line="240" w:lineRule="auto"/>
            </w:pPr>
            <w:r>
              <w:rPr>
                <w:rFonts w:ascii="Times New Roman" w:hAnsi="Times New Roman" w:eastAsia="Times New Roman"/>
                <w:sz w:val="24"/>
              </w:rPr>
              <w:t>Area under the ROC curve</w:t>
            </w:r>
          </w:p>
        </w:tc>
        <w:tc>
          <w:tcPr>
            <w:tcW w:type="dxa" w:w="5040"/>
            <w:vAlign w:val="center"/>
          </w:tcPr>
          <w:p>
            <w:pPr>
              <w:spacing w:after="40" w:line="240" w:lineRule="auto"/>
            </w:pPr>
            <w:r>
              <w:rPr>
                <w:rFonts w:ascii="Times New Roman" w:hAnsi="Times New Roman" w:eastAsia="Times New Roman"/>
                <w:sz w:val="24"/>
              </w:rPr>
              <w:t>Ranking discrimination over thresholds; does not identify the operating threshold.</w:t>
            </w:r>
          </w:p>
        </w:tc>
      </w:tr>
    </w:tbl>
    <w:p>
      <w:pPr>
        <w:keepLines/>
        <w:spacing w:line="259" w:lineRule="auto" w:after="100"/>
      </w:pPr>
      <w:r>
        <w:rPr>
          <w:rFonts w:ascii="Times New Roman" w:hAnsi="Times New Roman" w:eastAsia="Times New Roman"/>
          <w:sz w:val="24"/>
        </w:rPr>
        <w:t>Always provide denominators. A low FNR estimated from a small threat set, or a low FPR estimated from a small benign set, can have a wide uncertainty interval. Confidence intervals do not correct for leakage, label errors, distribution shift, or an unrepresentative source population.</w:t>
      </w:r>
    </w:p>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J  PRIVACY, SECURITY, AND LIMITATIONS</w:t>
      </w:r>
    </w:p>
    <w:p>
      <w:pPr>
        <w:pStyle w:val="Heading2"/>
      </w:pPr>
      <w:r>
        <w:rPr>
          <w:rFonts w:ascii="Times New Roman" w:hAnsi="Times New Roman" w:eastAsia="Times New Roman"/>
        </w:rPr>
        <w:t>J.1 Data handling boundaries</w:t>
      </w:r>
    </w:p>
    <w:p>
      <w:pPr>
        <w:keepLines/>
        <w:spacing w:line="259" w:lineRule="auto" w:after="100"/>
      </w:pPr>
      <w:r>
        <w:rPr>
          <w:rFonts w:ascii="Times New Roman" w:hAnsi="Times New Roman" w:eastAsia="Times New Roman"/>
          <w:sz w:val="24"/>
        </w:rPr>
        <w:t>The intended deployment keeps inference inside the host running the local containers. Uploaded audio and video are streamed to temporary files for processing, then the endpoint removes those temporary files after inference. Email text is handled in memory by the API. The browser’s PDF report is generated client-side. The local threat-report history stores only metadata such as the analysis identifier, timestamp, verdict, score, modality scores, statuses, summary, and indicators; it does not persist uploaded base64 video frames as the history payload. Browser localStorage is profile-local and can be cleared by the user or browser policies.</w:t>
      </w:r>
    </w:p>
    <w:p>
      <w:pPr>
        <w:keepLines/>
        <w:spacing w:before="100" w:after="0"/>
        <w:jc w:val="center"/>
      </w:pPr>
      <w:r>
        <w:drawing>
          <wp:inline xmlns:a="http://schemas.openxmlformats.org/drawingml/2006/main" xmlns:pic="http://schemas.openxmlformats.org/drawingml/2006/picture">
            <wp:extent cx="6080760" cy="2871470"/>
            <wp:docPr id="13" name="Picture 13"/>
            <wp:cNvGraphicFramePr>
              <a:graphicFrameLocks noChangeAspect="1"/>
            </wp:cNvGraphicFramePr>
            <a:graphic>
              <a:graphicData uri="http://schemas.openxmlformats.org/drawingml/2006/picture">
                <pic:pic>
                  <pic:nvPicPr>
                    <pic:cNvPr id="0" name="data_lifecycle.png"/>
                    <pic:cNvPicPr/>
                  </pic:nvPicPr>
                  <pic:blipFill>
                    <a:blip r:embed="rId22"/>
                    <a:stretch>
                      <a:fillRect/>
                    </a:stretch>
                  </pic:blipFill>
                  <pic:spPr>
                    <a:xfrm>
                      <a:off x="0" y="0"/>
                      <a:ext cx="6080760" cy="2871470"/>
                    </a:xfrm>
                    <a:prstGeom prst="rect"/>
                  </pic:spPr>
                </pic:pic>
              </a:graphicData>
            </a:graphic>
          </wp:inline>
        </w:drawing>
      </w:r>
    </w:p>
    <w:p>
      <w:pPr>
        <w:pStyle w:val="Caption"/>
        <w:jc w:val="center"/>
      </w:pPr>
      <w:r>
        <w:rPr>
          <w:rFonts w:ascii="Times New Roman" w:hAnsi="Times New Roman"/>
          <w:sz w:val="24"/>
        </w:rPr>
        <w:t>Figure J.1. Evidence and report lifecycle across the local API and analyst browser.</w:t>
      </w:r>
    </w:p>
    <w:p>
      <w:pPr>
        <w:keepLines/>
        <w:spacing w:line="259" w:lineRule="auto" w:after="100"/>
      </w:pPr>
      <w:r>
        <w:rPr>
          <w:rFonts w:ascii="Times New Roman" w:hAnsi="Times New Roman" w:eastAsia="Times New Roman"/>
          <w:sz w:val="24"/>
        </w:rPr>
        <w:t>Local execution is not synonymous with a verified air gap. The software configuration enables offline model loading and does not publish the backend port to the host under the default Compose file, but the host may still have network access, dependency installation may contact package registries, and the application does not provide authentication or encryption for network exposure. Any claim of isolation should be limited to the tested deployment boundary and host configuration.</w:t>
      </w:r>
    </w:p>
    <w:p>
      <w:pPr>
        <w:pStyle w:val="Heading2"/>
      </w:pPr>
      <w:r>
        <w:rPr>
          <w:rFonts w:ascii="Times New Roman" w:hAnsi="Times New Roman" w:eastAsia="Times New Roman"/>
        </w:rPr>
        <w:t>J.2 Threat model</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1872"/>
            <w:vAlign w:val="center"/>
          </w:tcPr>
          <w:p>
            <w:pPr>
              <w:spacing w:after="40" w:line="240" w:lineRule="auto"/>
            </w:pPr>
            <w:r>
              <w:rPr>
                <w:rFonts w:ascii="Times New Roman" w:hAnsi="Times New Roman" w:eastAsia="Times New Roman"/>
                <w:b/>
                <w:sz w:val="24"/>
              </w:rPr>
              <w:t>Concern</w:t>
            </w:r>
          </w:p>
        </w:tc>
        <w:tc>
          <w:tcPr>
            <w:tcW w:type="dxa" w:w="3816"/>
            <w:vAlign w:val="center"/>
          </w:tcPr>
          <w:p>
            <w:pPr>
              <w:spacing w:after="40" w:line="240" w:lineRule="auto"/>
            </w:pPr>
            <w:r>
              <w:rPr>
                <w:rFonts w:ascii="Times New Roman" w:hAnsi="Times New Roman" w:eastAsia="Times New Roman"/>
                <w:b/>
                <w:sz w:val="24"/>
              </w:rPr>
              <w:t>Current control or behavior</w:t>
            </w:r>
          </w:p>
        </w:tc>
        <w:tc>
          <w:tcPr>
            <w:tcW w:type="dxa" w:w="4248"/>
            <w:vAlign w:val="center"/>
          </w:tcPr>
          <w:p>
            <w:pPr>
              <w:spacing w:after="40" w:line="240" w:lineRule="auto"/>
            </w:pPr>
            <w:r>
              <w:rPr>
                <w:rFonts w:ascii="Times New Roman" w:hAnsi="Times New Roman" w:eastAsia="Times New Roman"/>
                <w:b/>
                <w:sz w:val="24"/>
              </w:rPr>
              <w:t>Residual risk</w:t>
            </w:r>
          </w:p>
        </w:tc>
      </w:tr>
      <w:tr>
        <w:trPr>
          <w:cantSplit/>
        </w:trPr>
        <w:tc>
          <w:tcPr>
            <w:tcW w:type="dxa" w:w="1872"/>
            <w:vAlign w:val="center"/>
          </w:tcPr>
          <w:p>
            <w:pPr>
              <w:spacing w:after="40" w:line="240" w:lineRule="auto"/>
            </w:pPr>
            <w:r>
              <w:rPr>
                <w:rFonts w:ascii="Times New Roman" w:hAnsi="Times New Roman" w:eastAsia="Times New Roman"/>
                <w:sz w:val="24"/>
              </w:rPr>
              <w:t>Oversized uploads</w:t>
            </w:r>
          </w:p>
        </w:tc>
        <w:tc>
          <w:tcPr>
            <w:tcW w:type="dxa" w:w="3816"/>
            <w:vAlign w:val="center"/>
          </w:tcPr>
          <w:p>
            <w:pPr>
              <w:spacing w:after="40" w:line="240" w:lineRule="auto"/>
            </w:pPr>
            <w:r>
              <w:rPr>
                <w:rFonts w:ascii="Times New Roman" w:hAnsi="Times New Roman" w:eastAsia="Times New Roman"/>
                <w:sz w:val="24"/>
              </w:rPr>
              <w:t>Per-modality size/duration limits and request-body cap.</w:t>
            </w:r>
          </w:p>
        </w:tc>
        <w:tc>
          <w:tcPr>
            <w:tcW w:type="dxa" w:w="4248"/>
            <w:vAlign w:val="center"/>
          </w:tcPr>
          <w:p>
            <w:pPr>
              <w:spacing w:after="40" w:line="240" w:lineRule="auto"/>
            </w:pPr>
            <w:r>
              <w:rPr>
                <w:rFonts w:ascii="Times New Roman" w:hAnsi="Times New Roman" w:eastAsia="Times New Roman"/>
                <w:sz w:val="24"/>
              </w:rPr>
              <w:t>Resource exhaustion remains possible within limits; host memory/GPU and concurrent load are not benchmarked.</w:t>
            </w:r>
          </w:p>
        </w:tc>
      </w:tr>
      <w:tr>
        <w:trPr>
          <w:cantSplit/>
        </w:trPr>
        <w:tc>
          <w:tcPr>
            <w:tcW w:type="dxa" w:w="1872"/>
            <w:vAlign w:val="center"/>
          </w:tcPr>
          <w:p>
            <w:pPr>
              <w:spacing w:after="40" w:line="240" w:lineRule="auto"/>
            </w:pPr>
            <w:r>
              <w:rPr>
                <w:rFonts w:ascii="Times New Roman" w:hAnsi="Times New Roman" w:eastAsia="Times New Roman"/>
                <w:sz w:val="24"/>
              </w:rPr>
              <w:t>Unsupported file formats</w:t>
            </w:r>
          </w:p>
        </w:tc>
        <w:tc>
          <w:tcPr>
            <w:tcW w:type="dxa" w:w="3816"/>
            <w:vAlign w:val="center"/>
          </w:tcPr>
          <w:p>
            <w:pPr>
              <w:spacing w:after="40" w:line="240" w:lineRule="auto"/>
            </w:pPr>
            <w:r>
              <w:rPr>
                <w:rFonts w:ascii="Times New Roman" w:hAnsi="Times New Roman" w:eastAsia="Times New Roman"/>
                <w:sz w:val="24"/>
              </w:rPr>
              <w:t>Extension allowlists and empty-file checks.</w:t>
            </w:r>
          </w:p>
        </w:tc>
        <w:tc>
          <w:tcPr>
            <w:tcW w:type="dxa" w:w="4248"/>
            <w:vAlign w:val="center"/>
          </w:tcPr>
          <w:p>
            <w:pPr>
              <w:spacing w:after="40" w:line="240" w:lineRule="auto"/>
            </w:pPr>
            <w:r>
              <w:rPr>
                <w:rFonts w:ascii="Times New Roman" w:hAnsi="Times New Roman" w:eastAsia="Times New Roman"/>
                <w:sz w:val="24"/>
              </w:rPr>
              <w:t>Extension is not a complete content validation mechanism; decoder behavior depends on installed libraries.</w:t>
            </w:r>
          </w:p>
        </w:tc>
      </w:tr>
      <w:tr>
        <w:trPr>
          <w:cantSplit/>
        </w:trPr>
        <w:tc>
          <w:tcPr>
            <w:tcW w:type="dxa" w:w="1872"/>
            <w:vAlign w:val="center"/>
          </w:tcPr>
          <w:p>
            <w:pPr>
              <w:spacing w:after="40" w:line="240" w:lineRule="auto"/>
            </w:pPr>
            <w:r>
              <w:rPr>
                <w:rFonts w:ascii="Times New Roman" w:hAnsi="Times New Roman" w:eastAsia="Times New Roman"/>
                <w:sz w:val="24"/>
              </w:rPr>
              <w:t>Model unavailable</w:t>
            </w:r>
          </w:p>
        </w:tc>
        <w:tc>
          <w:tcPr>
            <w:tcW w:type="dxa" w:w="3816"/>
            <w:vAlign w:val="center"/>
          </w:tcPr>
          <w:p>
            <w:pPr>
              <w:spacing w:after="40" w:line="240" w:lineRule="auto"/>
            </w:pPr>
            <w:r>
              <w:rPr>
                <w:rFonts w:ascii="Times New Roman" w:hAnsi="Times New Roman" w:eastAsia="Times New Roman"/>
                <w:sz w:val="24"/>
              </w:rPr>
              <w:t>Health response exposes model availability; endpoint returns service errors.</w:t>
            </w:r>
          </w:p>
        </w:tc>
        <w:tc>
          <w:tcPr>
            <w:tcW w:type="dxa" w:w="4248"/>
            <w:vAlign w:val="center"/>
          </w:tcPr>
          <w:p>
            <w:pPr>
              <w:spacing w:after="40" w:line="240" w:lineRule="auto"/>
            </w:pPr>
            <w:r>
              <w:rPr>
                <w:rFonts w:ascii="Times New Roman" w:hAnsi="Times New Roman" w:eastAsia="Times New Roman"/>
                <w:sz w:val="24"/>
              </w:rPr>
              <w:t>Users may misinterpret a partial scan unless every modality status is reviewed.</w:t>
            </w:r>
          </w:p>
        </w:tc>
      </w:tr>
      <w:tr>
        <w:trPr>
          <w:cantSplit/>
        </w:trPr>
        <w:tc>
          <w:tcPr>
            <w:tcW w:type="dxa" w:w="1872"/>
            <w:vAlign w:val="center"/>
          </w:tcPr>
          <w:p>
            <w:pPr>
              <w:spacing w:after="40" w:line="240" w:lineRule="auto"/>
            </w:pPr>
            <w:r>
              <w:rPr>
                <w:rFonts w:ascii="Times New Roman" w:hAnsi="Times New Roman" w:eastAsia="Times New Roman"/>
                <w:sz w:val="24"/>
              </w:rPr>
              <w:t>Sensitive evidence</w:t>
            </w:r>
          </w:p>
        </w:tc>
        <w:tc>
          <w:tcPr>
            <w:tcW w:type="dxa" w:w="3816"/>
            <w:vAlign w:val="center"/>
          </w:tcPr>
          <w:p>
            <w:pPr>
              <w:spacing w:after="40" w:line="240" w:lineRule="auto"/>
            </w:pPr>
            <w:r>
              <w:rPr>
                <w:rFonts w:ascii="Times New Roman" w:hAnsi="Times New Roman" w:eastAsia="Times New Roman"/>
                <w:sz w:val="24"/>
              </w:rPr>
              <w:t>Local processing; temporary upload files removed after inference.</w:t>
            </w:r>
          </w:p>
        </w:tc>
        <w:tc>
          <w:tcPr>
            <w:tcW w:type="dxa" w:w="4248"/>
            <w:vAlign w:val="center"/>
          </w:tcPr>
          <w:p>
            <w:pPr>
              <w:spacing w:after="40" w:line="240" w:lineRule="auto"/>
            </w:pPr>
            <w:r>
              <w:rPr>
                <w:rFonts w:ascii="Times New Roman" w:hAnsi="Times New Roman" w:eastAsia="Times New Roman"/>
                <w:sz w:val="24"/>
              </w:rPr>
              <w:t>Host/container logs, crash dumps, backups, browser downloads, and disk security remain deployment responsibilities.</w:t>
            </w:r>
          </w:p>
        </w:tc>
      </w:tr>
      <w:tr>
        <w:trPr>
          <w:cantSplit/>
        </w:trPr>
        <w:tc>
          <w:tcPr>
            <w:tcW w:type="dxa" w:w="1872"/>
            <w:vAlign w:val="center"/>
          </w:tcPr>
          <w:p>
            <w:pPr>
              <w:spacing w:after="40" w:line="240" w:lineRule="auto"/>
            </w:pPr>
            <w:r>
              <w:rPr>
                <w:rFonts w:ascii="Times New Roman" w:hAnsi="Times New Roman" w:eastAsia="Times New Roman"/>
                <w:sz w:val="24"/>
              </w:rPr>
              <w:t>Report retention</w:t>
            </w:r>
          </w:p>
        </w:tc>
        <w:tc>
          <w:tcPr>
            <w:tcW w:type="dxa" w:w="3816"/>
            <w:vAlign w:val="center"/>
          </w:tcPr>
          <w:p>
            <w:pPr>
              <w:spacing w:after="40" w:line="240" w:lineRule="auto"/>
            </w:pPr>
            <w:r>
              <w:rPr>
                <w:rFonts w:ascii="Times New Roman" w:hAnsi="Times New Roman" w:eastAsia="Times New Roman"/>
                <w:sz w:val="24"/>
              </w:rPr>
              <w:t>Browser-only metadata and user-initiated local PDF export.</w:t>
            </w:r>
          </w:p>
        </w:tc>
        <w:tc>
          <w:tcPr>
            <w:tcW w:type="dxa" w:w="4248"/>
            <w:vAlign w:val="center"/>
          </w:tcPr>
          <w:p>
            <w:pPr>
              <w:spacing w:after="40" w:line="240" w:lineRule="auto"/>
            </w:pPr>
            <w:r>
              <w:rPr>
                <w:rFonts w:ascii="Times New Roman" w:hAnsi="Times New Roman" w:eastAsia="Times New Roman"/>
                <w:sz w:val="24"/>
              </w:rPr>
              <w:t>History is not tamper-resistant or centrally backed up; browser storage can be modified or removed.</w:t>
            </w:r>
          </w:p>
        </w:tc>
      </w:tr>
      <w:tr>
        <w:trPr>
          <w:cantSplit/>
        </w:trPr>
        <w:tc>
          <w:tcPr>
            <w:tcW w:type="dxa" w:w="1872"/>
            <w:vAlign w:val="center"/>
          </w:tcPr>
          <w:p>
            <w:pPr>
              <w:spacing w:after="40" w:line="240" w:lineRule="auto"/>
            </w:pPr>
            <w:r>
              <w:rPr>
                <w:rFonts w:ascii="Times New Roman" w:hAnsi="Times New Roman" w:eastAsia="Times New Roman"/>
                <w:sz w:val="24"/>
              </w:rPr>
              <w:t>False verdict</w:t>
            </w:r>
          </w:p>
        </w:tc>
        <w:tc>
          <w:tcPr>
            <w:tcW w:type="dxa" w:w="3816"/>
            <w:vAlign w:val="center"/>
          </w:tcPr>
          <w:p>
            <w:pPr>
              <w:spacing w:after="40" w:line="240" w:lineRule="auto"/>
            </w:pPr>
            <w:r>
              <w:rPr>
                <w:rFonts w:ascii="Times New Roman" w:hAnsi="Times New Roman" w:eastAsia="Times New Roman"/>
                <w:sz w:val="24"/>
              </w:rPr>
              <w:t>Scores and sensor status are displayed; result is decision support.</w:t>
            </w:r>
          </w:p>
        </w:tc>
        <w:tc>
          <w:tcPr>
            <w:tcW w:type="dxa" w:w="4248"/>
            <w:vAlign w:val="center"/>
          </w:tcPr>
          <w:p>
            <w:pPr>
              <w:spacing w:after="40" w:line="240" w:lineRule="auto"/>
            </w:pPr>
            <w:r>
              <w:rPr>
                <w:rFonts w:ascii="Times New Roman" w:hAnsi="Times New Roman" w:eastAsia="Times New Roman"/>
                <w:sz w:val="24"/>
              </w:rPr>
              <w:t>No human escalation workflow, calibrated risk model, or real-world operational performance study is established.</w:t>
            </w:r>
          </w:p>
        </w:tc>
      </w:tr>
    </w:tbl>
    <w:p>
      <w:pPr>
        <w:pStyle w:val="Heading2"/>
      </w:pPr>
      <w:r>
        <w:rPr>
          <w:rFonts w:ascii="Times New Roman" w:hAnsi="Times New Roman" w:eastAsia="Times New Roman"/>
        </w:rPr>
        <w:t>J.3 Responsible use</w:t>
      </w:r>
    </w:p>
    <w:p>
      <w:pPr>
        <w:keepLines/>
        <w:spacing w:line="259" w:lineRule="auto" w:after="100"/>
      </w:pPr>
      <w:r>
        <w:rPr>
          <w:rFonts w:ascii="Times New Roman" w:hAnsi="Times New Roman" w:eastAsia="Times New Roman"/>
          <w:sz w:val="24"/>
        </w:rPr>
        <w:t>SynthGuard should be used to prioritize further review, not as the sole basis for financial transfers, employment decisions, identity verification, or allegations of fraud. Analysts should verify requests through a separate trusted channel, especially when a message demands secrecy, urgency, credential changes, or payment redirection. A low model score does not prove an input is safe; a high score does not prove malicious intent. Preserve original evidence and record the model version, score, and investigation context according to the organization’s approved handling procedure.</w:t>
      </w:r>
    </w:p>
    <w:p>
      <w:pPr>
        <w:pStyle w:val="Heading2"/>
      </w:pPr>
      <w:r>
        <w:rPr>
          <w:rFonts w:ascii="Times New Roman" w:hAnsi="Times New Roman" w:eastAsia="Times New Roman"/>
        </w:rPr>
        <w:t>J.4 Known limitations</w:t>
      </w:r>
    </w:p>
    <w:p>
      <w:pPr>
        <w:pStyle w:val="ListBullet"/>
      </w:pPr>
      <w:r>
        <w:rPr>
          <w:rFonts w:ascii="Times New Roman" w:hAnsi="Times New Roman" w:eastAsia="Times New Roman"/>
          <w:sz w:val="24"/>
        </w:rPr>
        <w:t>The three scores are not documented as jointly calibrated; their arithmetic mean is an operational heuristic.</w:t>
      </w:r>
    </w:p>
    <w:p>
      <w:pPr>
        <w:pStyle w:val="ListBullet"/>
      </w:pPr>
      <w:r>
        <w:rPr>
          <w:rFonts w:ascii="Times New Roman" w:hAnsi="Times New Roman" w:eastAsia="Times New Roman"/>
          <w:sz w:val="24"/>
        </w:rPr>
        <w:t>Dynamic fusion uses only available scores. The meaning of the resulting score changes with the set of present modalities.</w:t>
      </w:r>
    </w:p>
    <w:p>
      <w:pPr>
        <w:pStyle w:val="ListBullet"/>
      </w:pPr>
      <w:r>
        <w:rPr>
          <w:rFonts w:ascii="Times New Roman" w:hAnsi="Times New Roman" w:eastAsia="Times New Roman"/>
          <w:sz w:val="24"/>
        </w:rPr>
        <w:t>The audio veto returns the highest available sensor score and can dominate the mean; false-alarm behavior is not established on a source-disjoint paired test set.</w:t>
      </w:r>
    </w:p>
    <w:p>
      <w:pPr>
        <w:pStyle w:val="ListBullet"/>
      </w:pPr>
      <w:r>
        <w:rPr>
          <w:rFonts w:ascii="Times New Roman" w:hAnsi="Times New Roman" w:eastAsia="Times New Roman"/>
          <w:sz w:val="24"/>
        </w:rPr>
        <w:t>Video face detection can fail on occlusion, pose, low resolution, no visible face, or severe compression; the system does not assess every frame.</w:t>
      </w:r>
    </w:p>
    <w:p>
      <w:pPr>
        <w:pStyle w:val="ListBullet"/>
      </w:pPr>
      <w:r>
        <w:rPr>
          <w:rFonts w:ascii="Times New Roman" w:hAnsi="Times New Roman" w:eastAsia="Times New Roman"/>
          <w:sz w:val="24"/>
        </w:rPr>
        <w:t>Dataset and checkpoint lineage are incomplete for some historical training artifacts, and the available diagnostic splits lack source grouping.</w:t>
      </w:r>
    </w:p>
    <w:p>
      <w:pPr>
        <w:pStyle w:val="ListBullet"/>
      </w:pPr>
      <w:r>
        <w:rPr>
          <w:rFonts w:ascii="Times New Roman" w:hAnsi="Times New Roman" w:eastAsia="Times New Roman"/>
          <w:sz w:val="24"/>
        </w:rPr>
        <w:t>No independent security assessment, deployment penetration test, latency study, or multi-user concurrency study is included.</w:t>
      </w:r>
    </w:p>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K  ANALYST USER GUIDE</w:t>
      </w:r>
    </w:p>
    <w:p>
      <w:pPr>
        <w:pStyle w:val="Heading2"/>
      </w:pPr>
      <w:r>
        <w:rPr>
          <w:rFonts w:ascii="Times New Roman" w:hAnsi="Times New Roman" w:eastAsia="Times New Roman"/>
        </w:rPr>
        <w:t>K.1 Start an investigation</w:t>
      </w:r>
    </w:p>
    <w:p>
      <w:pPr>
        <w:pStyle w:val="ListNumber"/>
      </w:pPr>
      <w:r>
        <w:rPr>
          <w:rFonts w:ascii="Times New Roman" w:hAnsi="Times New Roman" w:eastAsia="Times New Roman"/>
          <w:sz w:val="24"/>
        </w:rPr>
        <w:t>Open the local SynthGuard workspace and confirm the Local Environment indicator is visible.</w:t>
      </w:r>
    </w:p>
    <w:p>
      <w:pPr>
        <w:pStyle w:val="ListNumber"/>
      </w:pPr>
      <w:r>
        <w:rPr>
          <w:rFonts w:ascii="Times New Roman" w:hAnsi="Times New Roman" w:eastAsia="Times New Roman"/>
          <w:sz w:val="24"/>
        </w:rPr>
        <w:t>Check the dashboard’s model status. If a required model is unavailable, do not rely on that sensor; report the availability issue to the operator.</w:t>
      </w:r>
    </w:p>
    <w:p>
      <w:pPr>
        <w:pStyle w:val="ListNumber"/>
      </w:pPr>
      <w:r>
        <w:rPr>
          <w:rFonts w:ascii="Times New Roman" w:hAnsi="Times New Roman" w:eastAsia="Times New Roman"/>
          <w:sz w:val="24"/>
        </w:rPr>
        <w:t>Choose Email Intelligence, Audio Forensics, Video Forensics, or Multimodal Fusion based on the evidence available.</w:t>
      </w:r>
    </w:p>
    <w:p>
      <w:pPr>
        <w:pStyle w:val="ListNumber"/>
      </w:pPr>
      <w:r>
        <w:rPr>
          <w:rFonts w:ascii="Times New Roman" w:hAnsi="Times New Roman" w:eastAsia="Times New Roman"/>
          <w:sz w:val="24"/>
        </w:rPr>
        <w:t>Enter email text or select supported audio/video files. In Fusion, provide any combination of modalities; the application skips missing inputs and reports their status.</w:t>
      </w:r>
    </w:p>
    <w:p>
      <w:pPr>
        <w:pStyle w:val="ListNumber"/>
      </w:pPr>
      <w:r>
        <w:rPr>
          <w:rFonts w:ascii="Times New Roman" w:hAnsi="Times New Roman" w:eastAsia="Times New Roman"/>
          <w:sz w:val="24"/>
        </w:rPr>
        <w:t>Review the upload name, supported formats, limits and input content before submission. Do not treat the interface as an evidence redaction or sanitization system.</w:t>
      </w:r>
    </w:p>
    <w:p>
      <w:pPr>
        <w:pStyle w:val="ListNumber"/>
      </w:pPr>
      <w:r>
        <w:rPr>
          <w:rFonts w:ascii="Times New Roman" w:hAnsi="Times New Roman" w:eastAsia="Times New Roman"/>
          <w:sz w:val="24"/>
        </w:rPr>
        <w:t>Run the scan. Review each sensor score, label, forensic indicator, analysis ID and modality status. A partial result requires review of the failed signal before a conclusion is recorded.</w:t>
      </w:r>
    </w:p>
    <w:p>
      <w:pPr>
        <w:pStyle w:val="ListNumber"/>
      </w:pPr>
      <w:r>
        <w:rPr>
          <w:rFonts w:ascii="Times New Roman" w:hAnsi="Times New Roman" w:eastAsia="Times New Roman"/>
          <w:sz w:val="24"/>
        </w:rPr>
        <w:t>Use Export PDF Report to download a locally generated PDF for the current scan. The PDF contains the analysis ID, generation time, score, verdict, modality telemetry, summary and indicators.</w:t>
      </w:r>
    </w:p>
    <w:p>
      <w:pPr>
        <w:pStyle w:val="ListNumber"/>
      </w:pPr>
      <w:r>
        <w:rPr>
          <w:rFonts w:ascii="Times New Roman" w:hAnsi="Times New Roman" w:eastAsia="Times New Roman"/>
          <w:sz w:val="24"/>
        </w:rPr>
        <w:t>Open Threat Reports to review prior metadata records in the current browser profile. Download an individual PDF from its record when needed.</w:t>
      </w:r>
    </w:p>
    <w:p>
      <w:pPr>
        <w:pStyle w:val="Heading2"/>
      </w:pPr>
      <w:r>
        <w:rPr>
          <w:rFonts w:ascii="Times New Roman" w:hAnsi="Times New Roman" w:eastAsia="Times New Roman"/>
        </w:rPr>
        <w:t>K.2 Reading the score and verdict</w:t>
      </w:r>
    </w:p>
    <w:p>
      <w:pPr>
        <w:keepLines/>
        <w:spacing w:line="259" w:lineRule="auto" w:after="100"/>
      </w:pPr>
      <w:r>
        <w:rPr>
          <w:rFonts w:ascii="Times New Roman" w:hAnsi="Times New Roman" w:eastAsia="Times New Roman"/>
          <w:sz w:val="24"/>
        </w:rPr>
        <w:t>The score is the detector output transformed by each modality’s implementation. It is not a statistical guarantee that the event has that exact probability of being malicious. The label is produced by a configured threshold. The text interface reports an email-specific verdict; audio and video views report modality-specific synthetic-signal verdicts; Fusion reports an aggregate threat verdict. A missing signal should remain visible as “not provided” or “not processed,” not be interpreted as a benign score.</w:t>
      </w:r>
    </w:p>
    <w:p>
      <w:pPr>
        <w:pStyle w:val="Heading2"/>
      </w:pPr>
      <w:r>
        <w:rPr>
          <w:rFonts w:ascii="Times New Roman" w:hAnsi="Times New Roman" w:eastAsia="Times New Roman"/>
        </w:rPr>
        <w:t>K.3 Report storage and retention</w:t>
      </w:r>
    </w:p>
    <w:p>
      <w:pPr>
        <w:keepLines/>
        <w:spacing w:line="259" w:lineRule="auto" w:after="100"/>
      </w:pPr>
      <w:r>
        <w:rPr>
          <w:rFonts w:ascii="Times New Roman" w:hAnsi="Times New Roman" w:eastAsia="Times New Roman"/>
          <w:sz w:val="24"/>
        </w:rPr>
        <w:t>The report history is stored in localStorage under the browser key `synthguard_threat_reports`. It remains available after reloads in that browser profile until cleared or replaced, but it is not written to the FastAPI database because this project has no server-side report database. Client-side PDF export downloads a file to the user’s configured download location. Users should follow institutional policy before storing sensitive inputs or downloaded reports on a shared device.</w:t>
      </w:r>
    </w:p>
    <w:p>
      <w:pPr>
        <w:pStyle w:val="Heading2"/>
      </w:pPr>
      <w:r>
        <w:rPr>
          <w:rFonts w:ascii="Times New Roman" w:hAnsi="Times New Roman" w:eastAsia="Times New Roman"/>
        </w:rPr>
        <w:t>K.4 User-facing error handling</w:t>
      </w:r>
    </w:p>
    <w:tbl>
      <w:tblPr>
        <w:tblStyle w:val="TableGrid"/>
        <w:tblW w:type="auto" w:w="0"/>
        <w:tblLook w:firstColumn="1" w:firstRow="1" w:lastColumn="0" w:lastRow="0" w:noHBand="0" w:noVBand="1" w:val="04A0"/>
      </w:tblPr>
      <w:tblGrid>
        <w:gridCol w:w="3106"/>
        <w:gridCol w:w="3106"/>
        <w:gridCol w:w="3106"/>
      </w:tblGrid>
      <w:tr>
        <w:trPr>
          <w:tblHeader w:val="true"/>
          <w:cantSplit/>
        </w:trPr>
        <w:tc>
          <w:tcPr>
            <w:tcW w:type="dxa" w:w="2088"/>
            <w:vAlign w:val="center"/>
          </w:tcPr>
          <w:p>
            <w:pPr>
              <w:spacing w:after="40" w:line="240" w:lineRule="auto"/>
            </w:pPr>
            <w:r>
              <w:rPr>
                <w:rFonts w:ascii="Times New Roman" w:hAnsi="Times New Roman" w:eastAsia="Times New Roman"/>
                <w:sz w:val="24"/>
              </w:rPr>
              <w:t>Observed condition</w:t>
            </w:r>
          </w:p>
        </w:tc>
        <w:tc>
          <w:tcPr>
            <w:tcW w:type="dxa" w:w="3672"/>
            <w:vAlign w:val="center"/>
          </w:tcPr>
          <w:p>
            <w:pPr>
              <w:spacing w:after="40" w:line="240" w:lineRule="auto"/>
            </w:pPr>
            <w:r>
              <w:rPr>
                <w:rFonts w:ascii="Times New Roman" w:hAnsi="Times New Roman" w:eastAsia="Times New Roman"/>
                <w:sz w:val="24"/>
              </w:rPr>
              <w:t>Meaning</w:t>
            </w:r>
          </w:p>
        </w:tc>
        <w:tc>
          <w:tcPr>
            <w:tcW w:type="dxa" w:w="4176"/>
            <w:vAlign w:val="center"/>
          </w:tcPr>
          <w:p>
            <w:pPr>
              <w:spacing w:after="40" w:line="240" w:lineRule="auto"/>
            </w:pPr>
            <w:r>
              <w:rPr>
                <w:rFonts w:ascii="Times New Roman" w:hAnsi="Times New Roman" w:eastAsia="Times New Roman"/>
                <w:sz w:val="24"/>
              </w:rPr>
              <w:t>Recommended action</w:t>
            </w:r>
          </w:p>
        </w:tc>
      </w:tr>
      <w:tr>
        <w:trPr>
          <w:cantSplit/>
        </w:trPr>
        <w:tc>
          <w:tcPr>
            <w:tcW w:type="dxa" w:w="2088"/>
            <w:vAlign w:val="center"/>
          </w:tcPr>
          <w:p>
            <w:pPr>
              <w:spacing w:after="40" w:line="240" w:lineRule="auto"/>
            </w:pPr>
            <w:r>
              <w:rPr>
                <w:rFonts w:ascii="Times New Roman" w:hAnsi="Times New Roman" w:eastAsia="Times New Roman"/>
                <w:sz w:val="24"/>
              </w:rPr>
              <w:t>Model unavailable</w:t>
            </w:r>
          </w:p>
        </w:tc>
        <w:tc>
          <w:tcPr>
            <w:tcW w:type="dxa" w:w="3672"/>
            <w:vAlign w:val="center"/>
          </w:tcPr>
          <w:p>
            <w:pPr>
              <w:spacing w:after="40" w:line="240" w:lineRule="auto"/>
            </w:pPr>
            <w:r>
              <w:rPr>
                <w:rFonts w:ascii="Times New Roman" w:hAnsi="Times New Roman" w:eastAsia="Times New Roman"/>
                <w:sz w:val="24"/>
              </w:rPr>
              <w:t>That model did not load.</w:t>
            </w:r>
          </w:p>
        </w:tc>
        <w:tc>
          <w:tcPr>
            <w:tcW w:type="dxa" w:w="4176"/>
            <w:vAlign w:val="center"/>
          </w:tcPr>
          <w:p>
            <w:pPr>
              <w:spacing w:after="40" w:line="240" w:lineRule="auto"/>
            </w:pPr>
            <w:r>
              <w:rPr>
                <w:rFonts w:ascii="Times New Roman" w:hAnsi="Times New Roman" w:eastAsia="Times New Roman"/>
                <w:sz w:val="24"/>
              </w:rPr>
              <w:t>Check /api/health and backend logs; do not use that sensor.</w:t>
            </w:r>
          </w:p>
        </w:tc>
      </w:tr>
      <w:tr>
        <w:trPr>
          <w:cantSplit/>
        </w:trPr>
        <w:tc>
          <w:tcPr>
            <w:tcW w:type="dxa" w:w="2088"/>
            <w:vAlign w:val="center"/>
          </w:tcPr>
          <w:p>
            <w:pPr>
              <w:spacing w:after="40" w:line="240" w:lineRule="auto"/>
            </w:pPr>
            <w:r>
              <w:rPr>
                <w:rFonts w:ascii="Times New Roman" w:hAnsi="Times New Roman" w:eastAsia="Times New Roman"/>
                <w:sz w:val="24"/>
              </w:rPr>
              <w:t>No face detected</w:t>
            </w:r>
          </w:p>
        </w:tc>
        <w:tc>
          <w:tcPr>
            <w:tcW w:type="dxa" w:w="3672"/>
            <w:vAlign w:val="center"/>
          </w:tcPr>
          <w:p>
            <w:pPr>
              <w:spacing w:after="40" w:line="240" w:lineRule="auto"/>
            </w:pPr>
            <w:r>
              <w:rPr>
                <w:rFonts w:ascii="Times New Roman" w:hAnsi="Times New Roman" w:eastAsia="Times New Roman"/>
                <w:sz w:val="24"/>
              </w:rPr>
              <w:t>No accepted face region was found.</w:t>
            </w:r>
          </w:p>
        </w:tc>
        <w:tc>
          <w:tcPr>
            <w:tcW w:type="dxa" w:w="4176"/>
            <w:vAlign w:val="center"/>
          </w:tcPr>
          <w:p>
            <w:pPr>
              <w:spacing w:after="40" w:line="240" w:lineRule="auto"/>
            </w:pPr>
            <w:r>
              <w:rPr>
                <w:rFonts w:ascii="Times New Roman" w:hAnsi="Times New Roman" w:eastAsia="Times New Roman"/>
                <w:sz w:val="24"/>
              </w:rPr>
              <w:t>Check format, quality and visible face; this is not a benign verdict.</w:t>
            </w:r>
          </w:p>
        </w:tc>
      </w:tr>
      <w:tr>
        <w:trPr>
          <w:cantSplit/>
        </w:trPr>
        <w:tc>
          <w:tcPr>
            <w:tcW w:type="dxa" w:w="2088"/>
            <w:vAlign w:val="center"/>
          </w:tcPr>
          <w:p>
            <w:pPr>
              <w:spacing w:after="40" w:line="240" w:lineRule="auto"/>
            </w:pPr>
            <w:r>
              <w:rPr>
                <w:rFonts w:ascii="Times New Roman" w:hAnsi="Times New Roman" w:eastAsia="Times New Roman"/>
                <w:sz w:val="24"/>
              </w:rPr>
              <w:t>Upload rejected</w:t>
            </w:r>
          </w:p>
        </w:tc>
        <w:tc>
          <w:tcPr>
            <w:tcW w:type="dxa" w:w="3672"/>
            <w:vAlign w:val="center"/>
          </w:tcPr>
          <w:p>
            <w:pPr>
              <w:spacing w:after="40" w:line="240" w:lineRule="auto"/>
            </w:pPr>
            <w:r>
              <w:rPr>
                <w:rFonts w:ascii="Times New Roman" w:hAnsi="Times New Roman" w:eastAsia="Times New Roman"/>
                <w:sz w:val="24"/>
              </w:rPr>
              <w:t>The file failed a type, size or duration limit.</w:t>
            </w:r>
          </w:p>
        </w:tc>
        <w:tc>
          <w:tcPr>
            <w:tcW w:type="dxa" w:w="4176"/>
            <w:vAlign w:val="center"/>
          </w:tcPr>
          <w:p>
            <w:pPr>
              <w:spacing w:after="40" w:line="240" w:lineRule="auto"/>
            </w:pPr>
            <w:r>
              <w:rPr>
                <w:rFonts w:ascii="Times New Roman" w:hAnsi="Times New Roman" w:eastAsia="Times New Roman"/>
                <w:sz w:val="24"/>
              </w:rPr>
              <w:t>Use a supported, authorized input within configured limits.</w:t>
            </w:r>
          </w:p>
        </w:tc>
      </w:tr>
      <w:tr>
        <w:trPr>
          <w:cantSplit/>
        </w:trPr>
        <w:tc>
          <w:tcPr>
            <w:tcW w:type="dxa" w:w="2088"/>
            <w:vAlign w:val="center"/>
          </w:tcPr>
          <w:p>
            <w:pPr>
              <w:spacing w:after="40" w:line="240" w:lineRule="auto"/>
            </w:pPr>
            <w:r>
              <w:rPr>
                <w:rFonts w:ascii="Times New Roman" w:hAnsi="Times New Roman" w:eastAsia="Times New Roman"/>
                <w:sz w:val="24"/>
              </w:rPr>
              <w:t>Partial analysis</w:t>
            </w:r>
          </w:p>
        </w:tc>
        <w:tc>
          <w:tcPr>
            <w:tcW w:type="dxa" w:w="3672"/>
            <w:vAlign w:val="center"/>
          </w:tcPr>
          <w:p>
            <w:pPr>
              <w:spacing w:after="40" w:line="240" w:lineRule="auto"/>
            </w:pPr>
            <w:r>
              <w:rPr>
                <w:rFonts w:ascii="Times New Roman" w:hAnsi="Times New Roman" w:eastAsia="Times New Roman"/>
                <w:sz w:val="24"/>
              </w:rPr>
              <w:t>One or more supplied sensors failed.</w:t>
            </w:r>
          </w:p>
        </w:tc>
        <w:tc>
          <w:tcPr>
            <w:tcW w:type="dxa" w:w="4176"/>
            <w:vAlign w:val="center"/>
          </w:tcPr>
          <w:p>
            <w:pPr>
              <w:spacing w:after="40" w:line="240" w:lineRule="auto"/>
            </w:pPr>
            <w:r>
              <w:rPr>
                <w:rFonts w:ascii="Times New Roman" w:hAnsi="Times New Roman" w:eastAsia="Times New Roman"/>
                <w:sz w:val="24"/>
              </w:rPr>
              <w:t>Inspect modality_status and modality_errors before recording a conclusion.</w:t>
            </w:r>
          </w:p>
        </w:tc>
      </w:tr>
    </w:tbl>
    <w:p>
      <w:pPr>
        <w:spacing w:line="259" w:lineRule="auto" w:after="100"/>
      </w:pPr>
      <w:r>
        <w:rPr>
          <w:rFonts w:ascii="Times New Roman" w:hAnsi="Times New Roman" w:eastAsia="Times New Roman"/>
          <w:sz w:val="24"/>
        </w:rPr>
        <w:br w:type="page"/>
      </w:r>
    </w:p>
    <w:p>
      <w:pPr>
        <w:pStyle w:val="Heading1"/>
      </w:pPr>
      <w:r>
        <w:rPr>
          <w:rFonts w:ascii="Times New Roman" w:hAnsi="Times New Roman" w:eastAsia="Times New Roman"/>
        </w:rPr>
        <w:t>APPENDIX L  MAINTENANCE AND ACCEPTANCE CHECKLIST</w:t>
      </w:r>
    </w:p>
    <w:p>
      <w:pPr>
        <w:keepLines/>
        <w:spacing w:line="259" w:lineRule="auto" w:after="100"/>
      </w:pPr>
      <w:r>
        <w:rPr>
          <w:rFonts w:ascii="Times New Roman" w:hAnsi="Times New Roman" w:eastAsia="Times New Roman"/>
          <w:sz w:val="24"/>
        </w:rPr>
        <w:t>This checklist is an operational handoff aid. It records the items an administrator or project reviewer should verify at the time of a fresh deployment or before academic demonstration. It is not evidence that those checks have been completed unless a dated record is added.</w:t>
      </w:r>
    </w:p>
    <w:p>
      <w:pPr>
        <w:pStyle w:val="Heading2"/>
      </w:pPr>
      <w:r>
        <w:rPr>
          <w:rFonts w:ascii="Times New Roman" w:hAnsi="Times New Roman" w:eastAsia="Times New Roman"/>
        </w:rPr>
        <w:t>L.1 Pre-demonstration checks</w:t>
      </w:r>
    </w:p>
    <w:p>
      <w:pPr>
        <w:pStyle w:val="ListBullet"/>
      </w:pPr>
      <w:r>
        <w:rPr>
          <w:rFonts w:ascii="Times New Roman" w:hAnsi="Times New Roman" w:eastAsia="Times New Roman"/>
          <w:sz w:val="24"/>
        </w:rPr>
        <w:t>Confirm the project commit or source archive and active checkpoint files are recorded with hashes.</w:t>
      </w:r>
    </w:p>
    <w:p>
      <w:pPr>
        <w:pStyle w:val="ListBullet"/>
      </w:pPr>
      <w:r>
        <w:rPr>
          <w:rFonts w:ascii="Times New Roman" w:hAnsi="Times New Roman" w:eastAsia="Times New Roman"/>
          <w:sz w:val="24"/>
        </w:rPr>
        <w:t>Start the Compose services and save the health response with timestamp and model availability.</w:t>
      </w:r>
    </w:p>
    <w:p>
      <w:pPr>
        <w:pStyle w:val="ListBullet"/>
      </w:pPr>
      <w:r>
        <w:rPr>
          <w:rFonts w:ascii="Times New Roman" w:hAnsi="Times New Roman" w:eastAsia="Times New Roman"/>
          <w:sz w:val="24"/>
        </w:rPr>
        <w:t>Run one representative input through each available single-modality scanner and one multimodal combination; record analysis IDs and whether every expected signal processed.</w:t>
      </w:r>
    </w:p>
    <w:p>
      <w:pPr>
        <w:pStyle w:val="ListBullet"/>
      </w:pPr>
      <w:r>
        <w:rPr>
          <w:rFonts w:ascii="Times New Roman" w:hAnsi="Times New Roman" w:eastAsia="Times New Roman"/>
          <w:sz w:val="24"/>
        </w:rPr>
        <w:t>Verify a PDF can be downloaded and matches the analysis ID, then confirm a report record persists after page reload in the same browser profile.</w:t>
      </w:r>
    </w:p>
    <w:p>
      <w:pPr>
        <w:pStyle w:val="ListBullet"/>
      </w:pPr>
      <w:r>
        <w:rPr>
          <w:rFonts w:ascii="Times New Roman" w:hAnsi="Times New Roman" w:eastAsia="Times New Roman"/>
          <w:sz w:val="24"/>
        </w:rPr>
        <w:t>Confirm report-history limitations and local-storage behavior are described to the user.</w:t>
      </w:r>
    </w:p>
    <w:p>
      <w:pPr>
        <w:pStyle w:val="ListBullet"/>
      </w:pPr>
      <w:r>
        <w:rPr>
          <w:rFonts w:ascii="Times New Roman" w:hAnsi="Times New Roman" w:eastAsia="Times New Roman"/>
          <w:sz w:val="24"/>
        </w:rPr>
        <w:t>Use benign and threat-labeled controlled examples only when authorization and dataset licensing permit; do not infer benchmark accuracy from demonstration scans.</w:t>
      </w:r>
    </w:p>
    <w:p>
      <w:pPr>
        <w:pStyle w:val="ListBullet"/>
      </w:pPr>
      <w:r>
        <w:rPr>
          <w:rFonts w:ascii="Times New Roman" w:hAnsi="Times New Roman" w:eastAsia="Times New Roman"/>
          <w:sz w:val="24"/>
        </w:rPr>
        <w:t>For academic performance claims, attach per-sample predictions, split manifests, model hashes, threshold records, confusion counts and the actual checker output for the final report version.</w:t>
      </w:r>
    </w:p>
    <w:p>
      <w:pPr>
        <w:pStyle w:val="Heading2"/>
      </w:pPr>
      <w:r>
        <w:rPr>
          <w:rFonts w:ascii="Times New Roman" w:hAnsi="Times New Roman" w:eastAsia="Times New Roman"/>
        </w:rPr>
        <w:t>L.2 Evidence custody</w:t>
      </w:r>
    </w:p>
    <w:p>
      <w:pPr>
        <w:keepLines/>
        <w:spacing w:line="259" w:lineRule="auto" w:after="100"/>
      </w:pPr>
      <w:r>
        <w:rPr>
          <w:rFonts w:ascii="Times New Roman" w:hAnsi="Times New Roman" w:eastAsia="Times New Roman"/>
          <w:sz w:val="24"/>
        </w:rPr>
        <w:t>For any future evaluation, keep the manifest, predictions, metric summary, run metadata, calibration artifact and model hashes together in a dated output folder. Preserve the exact software revision and dependency versions. Record missing rows and failures instead of dropping them silently. A second person should be able to follow the recorded procedure without access to an untracked Colab session or informal memory of how a split was formed.</w:t>
      </w:r>
    </w:p>
    <w:p>
      <w:pPr>
        <w:pStyle w:val="Heading2"/>
      </w:pPr>
      <w:r>
        <w:rPr>
          <w:rFonts w:ascii="Times New Roman" w:hAnsi="Times New Roman" w:eastAsia="Times New Roman"/>
        </w:rPr>
        <w:t>L.3 Completion criteria for research claims</w:t>
      </w:r>
    </w:p>
    <w:tbl>
      <w:tblPr>
        <w:tblStyle w:val="TableGrid"/>
        <w:tblW w:type="auto" w:w="0"/>
        <w:tblLook w:firstColumn="1" w:firstRow="1" w:lastColumn="0" w:lastRow="0" w:noHBand="0" w:noVBand="1" w:val="04A0"/>
      </w:tblPr>
      <w:tblGrid>
        <w:gridCol w:w="4658"/>
        <w:gridCol w:w="4658"/>
      </w:tblGrid>
      <w:tr>
        <w:trPr>
          <w:tblHeader w:val="true"/>
          <w:cantSplit/>
        </w:trPr>
        <w:tc>
          <w:tcPr>
            <w:tcW w:type="dxa" w:w="2376"/>
            <w:vAlign w:val="center"/>
          </w:tcPr>
          <w:p>
            <w:pPr>
              <w:spacing w:after="40" w:line="240" w:lineRule="auto"/>
            </w:pPr>
            <w:r>
              <w:rPr>
                <w:rFonts w:ascii="Times New Roman" w:hAnsi="Times New Roman" w:eastAsia="Times New Roman"/>
                <w:b/>
                <w:sz w:val="24"/>
              </w:rPr>
              <w:t>Claim category</w:t>
            </w:r>
          </w:p>
        </w:tc>
        <w:tc>
          <w:tcPr>
            <w:tcW w:type="dxa" w:w="7560"/>
            <w:vAlign w:val="center"/>
          </w:tcPr>
          <w:p>
            <w:pPr>
              <w:spacing w:after="40" w:line="240" w:lineRule="auto"/>
            </w:pPr>
            <w:r>
              <w:rPr>
                <w:rFonts w:ascii="Times New Roman" w:hAnsi="Times New Roman" w:eastAsia="Times New Roman"/>
                <w:b/>
                <w:sz w:val="24"/>
              </w:rPr>
              <w:t>Minimum evidence before reporting</w:t>
            </w:r>
          </w:p>
        </w:tc>
      </w:tr>
      <w:tr>
        <w:trPr>
          <w:cantSplit/>
        </w:trPr>
        <w:tc>
          <w:tcPr>
            <w:tcW w:type="dxa" w:w="2376"/>
            <w:vAlign w:val="center"/>
          </w:tcPr>
          <w:p>
            <w:pPr>
              <w:spacing w:after="40" w:line="240" w:lineRule="auto"/>
            </w:pPr>
            <w:r>
              <w:rPr>
                <w:rFonts w:ascii="Times New Roman" w:hAnsi="Times New Roman" w:eastAsia="Times New Roman"/>
                <w:sz w:val="24"/>
              </w:rPr>
              <w:t>Email held-out performance</w:t>
            </w:r>
          </w:p>
        </w:tc>
        <w:tc>
          <w:tcPr>
            <w:tcW w:type="dxa" w:w="7560"/>
            <w:vAlign w:val="center"/>
          </w:tcPr>
          <w:p>
            <w:pPr>
              <w:spacing w:after="40" w:line="240" w:lineRule="auto"/>
            </w:pPr>
            <w:r>
              <w:rPr>
                <w:rFonts w:ascii="Times New Roman" w:hAnsi="Times New Roman" w:eastAsia="Times New Roman"/>
                <w:sz w:val="24"/>
              </w:rPr>
              <w:t>Independent training/test lineage, fixed test split, prediction-level export, metric recomputation and checkpoint hash.</w:t>
            </w:r>
          </w:p>
        </w:tc>
      </w:tr>
      <w:tr>
        <w:trPr>
          <w:cantSplit/>
        </w:trPr>
        <w:tc>
          <w:tcPr>
            <w:tcW w:type="dxa" w:w="2376"/>
            <w:vAlign w:val="center"/>
          </w:tcPr>
          <w:p>
            <w:pPr>
              <w:spacing w:after="40" w:line="240" w:lineRule="auto"/>
            </w:pPr>
            <w:r>
              <w:rPr>
                <w:rFonts w:ascii="Times New Roman" w:hAnsi="Times New Roman" w:eastAsia="Times New Roman"/>
                <w:sz w:val="24"/>
              </w:rPr>
              <w:t>Audio/video performance</w:t>
            </w:r>
          </w:p>
        </w:tc>
        <w:tc>
          <w:tcPr>
            <w:tcW w:type="dxa" w:w="7560"/>
            <w:vAlign w:val="center"/>
          </w:tcPr>
          <w:p>
            <w:pPr>
              <w:spacing w:after="40" w:line="240" w:lineRule="auto"/>
            </w:pPr>
            <w:r>
              <w:rPr>
                <w:rFonts w:ascii="Times New Roman" w:hAnsi="Times New Roman" w:eastAsia="Times New Roman"/>
                <w:sz w:val="24"/>
              </w:rPr>
              <w:t>Group-separated source manifest, active-checkpoint hash, frozen threshold, per-record scores and class denominators.</w:t>
            </w:r>
          </w:p>
        </w:tc>
      </w:tr>
      <w:tr>
        <w:trPr>
          <w:cantSplit/>
        </w:trPr>
        <w:tc>
          <w:tcPr>
            <w:tcW w:type="dxa" w:w="2376"/>
            <w:vAlign w:val="center"/>
          </w:tcPr>
          <w:p>
            <w:pPr>
              <w:spacing w:after="40" w:line="240" w:lineRule="auto"/>
            </w:pPr>
            <w:r>
              <w:rPr>
                <w:rFonts w:ascii="Times New Roman" w:hAnsi="Times New Roman" w:eastAsia="Times New Roman"/>
                <w:sz w:val="24"/>
              </w:rPr>
              <w:t>Video calibration</w:t>
            </w:r>
          </w:p>
        </w:tc>
        <w:tc>
          <w:tcPr>
            <w:tcW w:type="dxa" w:w="7560"/>
            <w:vAlign w:val="center"/>
          </w:tcPr>
          <w:p>
            <w:pPr>
              <w:spacing w:after="40" w:line="240" w:lineRule="auto"/>
            </w:pPr>
            <w:r>
              <w:rPr>
                <w:rFonts w:ascii="Times New Roman" w:hAnsi="Times New Roman" w:eastAsia="Times New Roman"/>
                <w:sz w:val="24"/>
              </w:rPr>
              <w:t>Validation-only threshold selection record; calibration method and validation data stated; frozen parameter before test scoring.</w:t>
            </w:r>
          </w:p>
        </w:tc>
      </w:tr>
      <w:tr>
        <w:trPr>
          <w:cantSplit/>
        </w:trPr>
        <w:tc>
          <w:tcPr>
            <w:tcW w:type="dxa" w:w="2376"/>
            <w:vAlign w:val="center"/>
          </w:tcPr>
          <w:p>
            <w:pPr>
              <w:spacing w:after="40" w:line="240" w:lineRule="auto"/>
            </w:pPr>
            <w:r>
              <w:rPr>
                <w:rFonts w:ascii="Times New Roman" w:hAnsi="Times New Roman" w:eastAsia="Times New Roman"/>
                <w:sz w:val="24"/>
              </w:rPr>
              <w:t>Fusion advantage</w:t>
            </w:r>
          </w:p>
        </w:tc>
        <w:tc>
          <w:tcPr>
            <w:tcW w:type="dxa" w:w="7560"/>
            <w:vAlign w:val="center"/>
          </w:tcPr>
          <w:p>
            <w:pPr>
              <w:spacing w:after="40" w:line="240" w:lineRule="auto"/>
            </w:pPr>
            <w:r>
              <w:rPr>
                <w:rFonts w:ascii="Times New Roman" w:hAnsi="Times New Roman" w:eastAsia="Times New Roman"/>
                <w:sz w:val="24"/>
              </w:rPr>
              <w:t>Authentic scenario-level modality correspondence, split-independent groups, common subset coverage, paired predictions and uncertainty intervals.</w:t>
            </w:r>
          </w:p>
        </w:tc>
      </w:tr>
      <w:tr>
        <w:trPr>
          <w:cantSplit/>
        </w:trPr>
        <w:tc>
          <w:tcPr>
            <w:tcW w:type="dxa" w:w="2376"/>
            <w:vAlign w:val="center"/>
          </w:tcPr>
          <w:p>
            <w:pPr>
              <w:spacing w:after="40" w:line="240" w:lineRule="auto"/>
            </w:pPr>
            <w:r>
              <w:rPr>
                <w:rFonts w:ascii="Times New Roman" w:hAnsi="Times New Roman" w:eastAsia="Times New Roman"/>
                <w:sz w:val="24"/>
              </w:rPr>
              <w:t>Privacy or isolation</w:t>
            </w:r>
          </w:p>
        </w:tc>
        <w:tc>
          <w:tcPr>
            <w:tcW w:type="dxa" w:w="7560"/>
            <w:vAlign w:val="center"/>
          </w:tcPr>
          <w:p>
            <w:pPr>
              <w:spacing w:after="40" w:line="240" w:lineRule="auto"/>
            </w:pPr>
            <w:r>
              <w:rPr>
                <w:rFonts w:ascii="Times New Roman" w:hAnsi="Times New Roman" w:eastAsia="Times New Roman"/>
                <w:sz w:val="24"/>
              </w:rPr>
              <w:t>Deployment configuration and host/network boundary evidence; avoid “air-gapped” without independently verified isolation.</w:t>
            </w:r>
          </w:p>
        </w:tc>
      </w:tr>
      <w:tr>
        <w:trPr>
          <w:cantSplit/>
        </w:trPr>
        <w:tc>
          <w:tcPr>
            <w:tcW w:type="dxa" w:w="2376"/>
            <w:vAlign w:val="center"/>
          </w:tcPr>
          <w:p>
            <w:pPr>
              <w:spacing w:after="40" w:line="240" w:lineRule="auto"/>
            </w:pPr>
            <w:r>
              <w:rPr>
                <w:rFonts w:ascii="Times New Roman" w:hAnsi="Times New Roman" w:eastAsia="Times New Roman"/>
                <w:sz w:val="24"/>
              </w:rPr>
              <w:t>Similarity result</w:t>
            </w:r>
          </w:p>
        </w:tc>
        <w:tc>
          <w:tcPr>
            <w:tcW w:type="dxa" w:w="7560"/>
            <w:vAlign w:val="center"/>
          </w:tcPr>
          <w:p>
            <w:pPr>
              <w:spacing w:after="40" w:line="240" w:lineRule="auto"/>
            </w:pPr>
            <w:r>
              <w:rPr>
                <w:rFonts w:ascii="Times New Roman" w:hAnsi="Times New Roman" w:eastAsia="Times New Roman"/>
                <w:sz w:val="24"/>
              </w:rPr>
              <w:t>Institution-approved checker export tied to the final submitted document, with settings/date and reviewed matches.</w:t>
            </w:r>
          </w:p>
        </w:tc>
      </w:tr>
    </w:tbl>
    <w:sectPr w:rsidR="00FC693F" w:rsidRPr="0006063C" w:rsidSect="00034616">
      <w:type w:val="continuous"/>
      <w:pgSz w:w="11906" w:h="16838"/>
      <w:pgMar w:top="1008" w:right="1008" w:bottom="1008" w:left="1008" w:header="547" w:footer="504" w:gutter="0"/>
      <w:cols w:space="420" w:num="1"/>
      <w:docGrid w:linePitch="360"/>
      <w:pgBorders w:display="allPages" w:offsetFrom="page">
        <w:top w:val="thickThinMediumGap" w:sz="18" w:space="24" w:color="000000"/>
        <w:left w:val="thickThinMediumGap" w:sz="18" w:space="24" w:color="000000"/>
        <w:bottom w:val="thickThinMediumGap" w:sz="18" w:space="24" w:color="000000"/>
        <w:right w:val="thickThinMediumGap" w:sz="18"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62A3C"/>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62A3C"/>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162A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59" w:lineRule="auto"/>
      <w:ind w:left="720"/>
      <w:contextualSpacing/>
    </w:pPr>
    <w:rPr>
      <w:rFonts w:ascii="Times New Roman" w:hAnsi="Times New Roman" w:eastAsia="Times New Roman"/>
      <w:sz w:val="24"/>
    </w:rPr>
  </w:style>
  <w:style w:type="paragraph" w:styleId="BodyText">
    <w:name w:val="Body Text"/>
    <w:basedOn w:val="Normal"/>
    <w:link w:val="BodyTextChar"/>
    <w:uiPriority w:val="99"/>
    <w:unhideWhenUsed/>
    <w:rsid w:val="00AA1D8D"/>
    <w:pPr>
      <w:spacing w:after="120" w:line="259"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SynthGuard Project Documentation</dc:title>
  <dc:subject>Project report for the SynthGuard multimodal threat-analysis prototype</dc:subject>
  <dc:creator>Jay Shravan Kumar Sharma</dc:creator>
  <cp:keywords>SynthGuard, threat intelligence, phishing, audio spoofing, deepfake video, project documentation</cp:keywords>
  <dc:description>Draft report with evidence limitations explicitly documented.</dc:description>
  <cp:lastModifiedBy/>
  <cp:revision>1</cp:revision>
  <dcterms:created xsi:type="dcterms:W3CDTF">2013-12-23T23:15:00Z</dcterms:created>
  <dcterms:modified xsi:type="dcterms:W3CDTF">2013-12-23T23:15:00Z</dcterms:modified>
  <cp:category/>
</cp:coreProperties>
</file>