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28"/>
        </w:rPr>
        <w:t>A PROJECT REPORT</w:t>
      </w:r>
    </w:p>
    <w:p>
      <w:pPr>
        <w:jc w:val="center"/>
      </w:pPr>
      <w:r>
        <w:rPr>
          <w:i w:val="0"/>
        </w:rPr>
        <w:t>on</w:t>
      </w:r>
    </w:p>
    <w:p>
      <w:pPr>
        <w:spacing w:before="160" w:after="400"/>
        <w:jc w:val="center"/>
      </w:pPr>
      <w:r>
        <w:rPr>
          <w:b/>
          <w:color w:val="0F2B41"/>
          <w:sz w:val="42"/>
        </w:rPr>
        <w:t>SynthGuard Project Report</w:t>
      </w:r>
    </w:p>
    <w:p>
      <w:pPr>
        <w:spacing w:after="360"/>
        <w:jc w:val="center"/>
      </w:pPr>
      <w:r>
        <w:rPr>
          <w:b/>
          <w:sz w:val="30"/>
        </w:rPr>
        <w:t>Multimodal Threat Intelligence and Deepfake Defense System</w:t>
      </w:r>
    </w:p>
    <w:p>
      <w:pPr>
        <w:jc w:val="center"/>
      </w:pPr>
      <w:r>
        <w:rPr>
          <w:i/>
        </w:rPr>
        <w:t>Submitted by</w:t>
      </w:r>
    </w:p>
    <w:p>
      <w:pPr>
        <w:spacing w:after="240"/>
        <w:jc w:val="center"/>
      </w:pPr>
      <w:r>
        <w:rPr>
          <w:b/>
          <w:sz w:val="28"/>
        </w:rPr>
        <w:t>Jay Sharma  |  TYCS47</w:t>
      </w:r>
    </w:p>
    <w:p>
      <w:pPr>
        <w:jc w:val="center"/>
      </w:pPr>
      <w:r>
        <w:rPr>
          <w:i/>
        </w:rPr>
        <w:t>in partial fulfilment of the requirements for the degree of</w:t>
      </w:r>
    </w:p>
    <w:p>
      <w:pPr>
        <w:spacing w:after="80"/>
        <w:jc w:val="center"/>
      </w:pPr>
      <w:r>
        <w:rPr>
          <w:b/>
          <w:sz w:val="28"/>
        </w:rPr>
        <w:t>BACHELOR OF SCIENCE</w:t>
      </w:r>
    </w:p>
    <w:p>
      <w:pPr>
        <w:spacing w:after="80"/>
        <w:jc w:val="center"/>
      </w:pPr>
      <w:r>
        <w:rPr>
          <w:b w:val="0"/>
          <w:sz w:val="22"/>
        </w:rPr>
        <w:t>in</w:t>
      </w:r>
    </w:p>
    <w:p>
      <w:pPr>
        <w:spacing w:after="80"/>
        <w:jc w:val="center"/>
      </w:pPr>
      <w:r>
        <w:rPr>
          <w:b/>
          <w:sz w:val="28"/>
        </w:rPr>
        <w:t>COMPUTER SCIENCE</w:t>
      </w:r>
    </w:p>
    <w:p>
      <w:pPr>
        <w:jc w:val="center"/>
      </w:pPr>
      <w:r>
        <w:rPr>
          <w:i/>
        </w:rPr>
        <w:t>Under the guidance of</w:t>
      </w:r>
    </w:p>
    <w:p>
      <w:pPr>
        <w:jc w:val="center"/>
      </w:pPr>
      <w:r>
        <w:rPr>
          <w:i w:val="0"/>
        </w:rPr>
        <w:t>[Project Guide Name]</w:t>
      </w:r>
    </w:p>
    <w:p>
      <w:pPr>
        <w:jc w:val="center"/>
      </w:pPr>
      <w:r>
        <w:rPr>
          <w:i w:val="0"/>
        </w:rPr>
        <w:t>Department of Computer Science</w:t>
      </w:r>
    </w:p>
    <w:p/>
    <w:p/>
    <w:p>
      <w:pPr>
        <w:spacing w:after="60"/>
        <w:jc w:val="center"/>
      </w:pPr>
      <w:r>
        <w:rPr>
          <w:b/>
          <w:sz w:val="24"/>
        </w:rPr>
        <w:t>BHAVAN'S COLLEGE</w:t>
      </w:r>
    </w:p>
    <w:p>
      <w:pPr>
        <w:spacing w:after="60"/>
        <w:jc w:val="center"/>
      </w:pPr>
      <w:r>
        <w:rPr>
          <w:b w:val="0"/>
          <w:sz w:val="24"/>
        </w:rPr>
        <w:t>Mumbai University</w:t>
      </w:r>
    </w:p>
    <w:p>
      <w:pPr>
        <w:spacing w:after="60"/>
        <w:jc w:val="center"/>
      </w:pPr>
      <w:r>
        <w:rPr>
          <w:b w:val="0"/>
          <w:sz w:val="24"/>
        </w:rPr>
        <w:t>Academic Year 2026–2027</w:t>
      </w:r>
    </w:p>
    <w:p>
      <w:pPr>
        <w:spacing w:after="60"/>
        <w:jc w:val="center"/>
      </w:pPr>
      <w:r>
        <w:rPr>
          <w:b w:val="0"/>
          <w:sz w:val="24"/>
        </w:rPr>
        <w:t>Submission date: To be confirmed</w:t>
      </w:r>
    </w:p>
    <w:p>
      <w:r>
        <w:br w:type="page"/>
      </w:r>
    </w:p>
    <w:p>
      <w:pPr>
        <w:jc w:val="center"/>
      </w:pPr>
      <w:r>
        <w:rPr>
          <w:b/>
          <w:sz w:val="32"/>
        </w:rPr>
        <w:t>BHAVAN'S COLLEGE</w:t>
        <w:br/>
        <w:t>Department of Computer Science</w:t>
        <w:br/>
        <w:br/>
        <w:t>CERTIFICATE</w:t>
      </w:r>
    </w:p>
    <w:p>
      <w:r>
        <w:rPr>
          <w:i w:val="0"/>
        </w:rPr>
        <w:t>This is to certify that Jay Sharma (TYCS47), a student of Bachelor of Science in Computer Science, has completed the project report titled “SynthGuard Project Report: Multimodal Threat Intelligence and Deepfake Defense System” during the academic year 2026–2027, under the guidance of [Project Guide Name].</w:t>
      </w:r>
    </w:p>
    <w:p>
      <w:r>
        <w:rPr>
          <w:i w:val="0"/>
        </w:rPr>
        <w:t>The report is submitted in partial fulfilment of the requirements for the degree of Bachelor of Science in Computer Science.</w:t>
      </w:r>
    </w:p>
    <w:p/>
    <w:p/>
    <w:p/>
    <w:p>
      <w:r>
        <w:rPr>
          <w:i w:val="0"/>
        </w:rPr>
        <w:t>Date: ____________________</w:t>
      </w:r>
    </w:p>
    <w:p>
      <w:r>
        <w:rPr>
          <w:i w:val="0"/>
        </w:rPr>
        <w:t>Project Guide: ______________________________</w:t>
      </w:r>
    </w:p>
    <w:p>
      <w:r>
        <w:rPr>
          <w:i w:val="0"/>
        </w:rPr>
        <w:t>Head / In-charge: ___________________________</w:t>
      </w:r>
    </w:p>
    <w:p>
      <w:r>
        <w:rPr>
          <w:i w:val="0"/>
        </w:rPr>
        <w:t>Signature of Examiner: ______________________</w:t>
      </w:r>
    </w:p>
    <w:p>
      <w:r>
        <w:rPr>
          <w:i w:val="0"/>
        </w:rPr>
        <w:t>College Seal: _______________________________</w:t>
      </w:r>
    </w:p>
    <w:p>
      <w:r>
        <w:br w:type="page"/>
      </w:r>
    </w:p>
    <w:p>
      <w:pPr>
        <w:jc w:val="center"/>
      </w:pPr>
      <w:r>
        <w:rPr>
          <w:b/>
          <w:sz w:val="36"/>
        </w:rPr>
        <w:t>DECLARATION</w:t>
      </w:r>
    </w:p>
    <w:p>
      <w:r>
        <w:rPr>
          <w:i w:val="0"/>
        </w:rPr>
        <w:t>I, Jay Sharma (TYCS47), declare that this project report titled “SynthGuard Project Report: Multimodal Threat Intelligence and Deepfake Defense System” is submitted in partial fulfilment of the requirements for the Bachelor of Science in Computer Science. The implementation details and results are described with reference to the project artifacts identified in this report. I have cited external sources used in the literature review and will review and complete the similarity-check section before submission.</w:t>
      </w:r>
    </w:p>
    <w:p>
      <w:r>
        <w:rPr>
          <w:i w:val="0"/>
        </w:rPr>
        <w:t>This declaration should be reviewed and signed by the student before submission.</w:t>
      </w:r>
    </w:p>
    <w:p/>
    <w:p/>
    <w:p/>
    <w:p/>
    <w:p>
      <w:r>
        <w:rPr>
          <w:i w:val="0"/>
        </w:rPr>
        <w:t>Student signature: __________________________</w:t>
      </w:r>
    </w:p>
    <w:p>
      <w:r>
        <w:rPr>
          <w:i w:val="0"/>
        </w:rPr>
        <w:t>Place: _____________________________________</w:t>
      </w:r>
    </w:p>
    <w:p>
      <w:r>
        <w:rPr>
          <w:i w:val="0"/>
        </w:rPr>
        <w:t>Date: ______________________________________</w:t>
      </w:r>
    </w:p>
    <w:p>
      <w:r>
        <w:br w:type="page"/>
      </w:r>
    </w:p>
    <w:p>
      <w:pPr>
        <w:jc w:val="center"/>
      </w:pPr>
      <w:r>
        <w:rPr>
          <w:b/>
          <w:sz w:val="32"/>
        </w:rPr>
        <w:t>TABLE OF CONTENTS</w:t>
      </w:r>
    </w:p>
    <w:tbl>
      <w:tblPr>
        <w:tblW w:type="auto" w:w="0"/>
        <w:jc w:val="center"/>
        <w:tblLayout w:type="fixed"/>
        <w:tblLook w:firstColumn="1" w:firstRow="1" w:lastColumn="0" w:lastRow="0" w:noHBand="0" w:noVBand="1" w:val="04A0"/>
        <w:tblBorders>
          <w:top w:val="single" w:sz="5" w:space="0" w:color="9BAABA"/>
          <w:left w:val="single" w:sz="5" w:space="0" w:color="9BAABA"/>
          <w:bottom w:val="single" w:sz="5" w:space="0" w:color="9BAABA"/>
          <w:right w:val="single" w:sz="5" w:space="0" w:color="9BAABA"/>
          <w:insideH w:val="single" w:sz="5" w:space="0" w:color="9BAABA"/>
          <w:insideV w:val="single" w:sz="5" w:space="0" w:color="9BAABA"/>
        </w:tblBorders>
      </w:tblPr>
      <w:tblGrid>
        <w:gridCol w:w="1584"/>
        <w:gridCol w:w="6696"/>
        <w:gridCol w:w="1080"/>
      </w:tblGrid>
      <w:tr>
        <w:trPr>
          <w:tblHeader w:val="true"/>
        </w:trPr>
        <w:tc>
          <w:tcPr>
            <w:tcW w:type="dxa" w:w="3106"/>
            <w:vAlign w:val="center"/>
            <w:tcMar>
              <w:top w:w="80" w:type="dxa"/>
              <w:start w:w="95" w:type="dxa"/>
              <w:bottom w:w="80" w:type="dxa"/>
              <w:end w:w="95" w:type="dxa"/>
            </w:tcMar>
            <w:shd w:fill="18364F"/>
          </w:tcPr>
          <w:p>
            <w:pPr>
              <w:pStyle w:val="SmallTable"/>
              <w:jc w:val="left"/>
            </w:pPr>
            <w:r/>
            <w:r>
              <w:rPr>
                <w:rFonts w:ascii="Times New Roman" w:hAnsi="Times New Roman"/>
                <w:b/>
                <w:color w:val="FFFFFF"/>
                <w:sz w:val="18"/>
              </w:rPr>
              <w:t>Chapter</w:t>
            </w:r>
          </w:p>
        </w:tc>
        <w:tc>
          <w:tcPr>
            <w:tcW w:type="dxa" w:w="3106"/>
            <w:vAlign w:val="center"/>
            <w:tcMar>
              <w:top w:w="80" w:type="dxa"/>
              <w:start w:w="95" w:type="dxa"/>
              <w:bottom w:w="80" w:type="dxa"/>
              <w:end w:w="95" w:type="dxa"/>
            </w:tcMar>
            <w:shd w:fill="18364F"/>
          </w:tcPr>
          <w:p>
            <w:pPr>
              <w:pStyle w:val="SmallTable"/>
              <w:jc w:val="left"/>
            </w:pPr>
            <w:r/>
            <w:r>
              <w:rPr>
                <w:rFonts w:ascii="Times New Roman" w:hAnsi="Times New Roman"/>
                <w:b/>
                <w:color w:val="FFFFFF"/>
                <w:sz w:val="18"/>
              </w:rPr>
              <w:t>Title</w:t>
            </w:r>
          </w:p>
        </w:tc>
        <w:tc>
          <w:tcPr>
            <w:tcW w:type="dxa" w:w="3106"/>
            <w:vAlign w:val="center"/>
            <w:tcMar>
              <w:top w:w="80" w:type="dxa"/>
              <w:start w:w="95" w:type="dxa"/>
              <w:bottom w:w="80" w:type="dxa"/>
              <w:end w:w="95" w:type="dxa"/>
            </w:tcMar>
            <w:shd w:fill="18364F"/>
          </w:tcPr>
          <w:p>
            <w:pPr>
              <w:pStyle w:val="SmallTable"/>
              <w:jc w:val="left"/>
            </w:pPr>
            <w:r/>
            <w:r>
              <w:rPr>
                <w:rFonts w:ascii="Times New Roman" w:hAnsi="Times New Roman"/>
                <w:b/>
                <w:color w:val="FFFFFF"/>
                <w:sz w:val="18"/>
              </w:rPr>
              <w:t>Page</w:t>
            </w:r>
          </w:p>
        </w:tc>
      </w:tr>
      <w:tr>
        <w:tc>
          <w:tcPr>
            <w:tcW w:type="dxa" w:w="1584"/>
            <w:vAlign w:val="center"/>
            <w:tcMar>
              <w:top w:w="80" w:type="dxa"/>
              <w:start w:w="95" w:type="dxa"/>
              <w:bottom w:w="80" w:type="dxa"/>
              <w:end w:w="95" w:type="dxa"/>
            </w:tcMar>
          </w:tcPr>
          <w:p>
            <w:pPr>
              <w:pStyle w:val="SmallTable"/>
              <w:jc w:val="center"/>
            </w:pPr>
            <w:r/>
            <w:r>
              <w:rPr>
                <w:rFonts w:ascii="Times New Roman" w:hAnsi="Times New Roman"/>
                <w:b w:val="0"/>
                <w:sz w:val="18"/>
              </w:rPr>
              <w:t>Front matter</w:t>
            </w:r>
          </w:p>
        </w:tc>
        <w:tc>
          <w:tcPr>
            <w:tcW w:type="dxa" w:w="6696"/>
            <w:vAlign w:val="center"/>
            <w:tcMar>
              <w:top w:w="80" w:type="dxa"/>
              <w:start w:w="95" w:type="dxa"/>
              <w:bottom w:w="80" w:type="dxa"/>
              <w:end w:w="95" w:type="dxa"/>
            </w:tcMar>
          </w:tcPr>
          <w:p>
            <w:pPr>
              <w:pStyle w:val="SmallTable"/>
              <w:jc w:val="left"/>
            </w:pPr>
            <w:r/>
            <w:r>
              <w:rPr>
                <w:rFonts w:ascii="Times New Roman" w:hAnsi="Times New Roman"/>
                <w:b w:val="0"/>
                <w:sz w:val="18"/>
              </w:rPr>
              <w:t>Title page</w:t>
            </w:r>
          </w:p>
        </w:tc>
        <w:tc>
          <w:tcPr>
            <w:tcW w:type="dxa" w:w="1080"/>
            <w:vAlign w:val="center"/>
            <w:tcMar>
              <w:top w:w="80" w:type="dxa"/>
              <w:start w:w="95" w:type="dxa"/>
              <w:bottom w:w="80" w:type="dxa"/>
              <w:end w:w="95" w:type="dxa"/>
            </w:tcMar>
          </w:tcPr>
          <w:p>
            <w:pPr>
              <w:pStyle w:val="SmallTable"/>
              <w:jc w:val="center"/>
            </w:pPr>
            <w:r/>
            <w:r>
              <w:rPr>
                <w:rFonts w:ascii="Times New Roman" w:hAnsi="Times New Roman"/>
                <w:b w:val="0"/>
                <w:sz w:val="18"/>
              </w:rPr>
              <w:t>1</w:t>
            </w:r>
          </w:p>
        </w:tc>
      </w:tr>
      <w:tr>
        <w:tc>
          <w:tcPr>
            <w:tcW w:type="dxa" w:w="1584"/>
            <w:vAlign w:val="center"/>
            <w:tcMar>
              <w:top w:w="80" w:type="dxa"/>
              <w:start w:w="95" w:type="dxa"/>
              <w:bottom w:w="80" w:type="dxa"/>
              <w:end w:w="95" w:type="dxa"/>
            </w:tcMar>
            <w:shd w:fill="F1F5F8"/>
          </w:tcPr>
          <w:p>
            <w:pPr>
              <w:pStyle w:val="SmallTable"/>
              <w:jc w:val="center"/>
            </w:pPr>
            <w:r/>
            <w:r>
              <w:rPr>
                <w:rFonts w:ascii="Times New Roman" w:hAnsi="Times New Roman"/>
                <w:b w:val="0"/>
                <w:sz w:val="18"/>
              </w:rPr>
            </w:r>
          </w:p>
        </w:tc>
        <w:tc>
          <w:tcPr>
            <w:tcW w:type="dxa" w:w="6696"/>
            <w:vAlign w:val="center"/>
            <w:tcMar>
              <w:top w:w="80" w:type="dxa"/>
              <w:start w:w="95" w:type="dxa"/>
              <w:bottom w:w="80" w:type="dxa"/>
              <w:end w:w="95" w:type="dxa"/>
            </w:tcMar>
            <w:shd w:fill="F1F5F8"/>
          </w:tcPr>
          <w:p>
            <w:pPr>
              <w:pStyle w:val="SmallTable"/>
              <w:jc w:val="left"/>
            </w:pPr>
            <w:r/>
            <w:r>
              <w:rPr>
                <w:rFonts w:ascii="Times New Roman" w:hAnsi="Times New Roman"/>
                <w:b w:val="0"/>
                <w:sz w:val="18"/>
              </w:rPr>
              <w:t>Certificate</w:t>
            </w:r>
          </w:p>
        </w:tc>
        <w:tc>
          <w:tcPr>
            <w:tcW w:type="dxa" w:w="1080"/>
            <w:vAlign w:val="center"/>
            <w:tcMar>
              <w:top w:w="80" w:type="dxa"/>
              <w:start w:w="95" w:type="dxa"/>
              <w:bottom w:w="80" w:type="dxa"/>
              <w:end w:w="95" w:type="dxa"/>
            </w:tcMar>
            <w:shd w:fill="F1F5F8"/>
          </w:tcPr>
          <w:p>
            <w:pPr>
              <w:pStyle w:val="SmallTable"/>
              <w:jc w:val="center"/>
            </w:pPr>
            <w:r/>
            <w:r>
              <w:rPr>
                <w:rFonts w:ascii="Times New Roman" w:hAnsi="Times New Roman"/>
                <w:b w:val="0"/>
                <w:sz w:val="18"/>
              </w:rPr>
              <w:t>2</w:t>
            </w:r>
          </w:p>
        </w:tc>
      </w:tr>
      <w:tr>
        <w:tc>
          <w:tcPr>
            <w:tcW w:type="dxa" w:w="1584"/>
            <w:vAlign w:val="center"/>
            <w:tcMar>
              <w:top w:w="80" w:type="dxa"/>
              <w:start w:w="95" w:type="dxa"/>
              <w:bottom w:w="80" w:type="dxa"/>
              <w:end w:w="95" w:type="dxa"/>
            </w:tcMar>
          </w:tcPr>
          <w:p>
            <w:pPr>
              <w:pStyle w:val="SmallTable"/>
              <w:jc w:val="center"/>
            </w:pPr>
            <w:r/>
            <w:r>
              <w:rPr>
                <w:rFonts w:ascii="Times New Roman" w:hAnsi="Times New Roman"/>
                <w:b w:val="0"/>
                <w:sz w:val="18"/>
              </w:rPr>
            </w:r>
          </w:p>
        </w:tc>
        <w:tc>
          <w:tcPr>
            <w:tcW w:type="dxa" w:w="6696"/>
            <w:vAlign w:val="center"/>
            <w:tcMar>
              <w:top w:w="80" w:type="dxa"/>
              <w:start w:w="95" w:type="dxa"/>
              <w:bottom w:w="80" w:type="dxa"/>
              <w:end w:w="95" w:type="dxa"/>
            </w:tcMar>
          </w:tcPr>
          <w:p>
            <w:pPr>
              <w:pStyle w:val="SmallTable"/>
              <w:jc w:val="left"/>
            </w:pPr>
            <w:r/>
            <w:r>
              <w:rPr>
                <w:rFonts w:ascii="Times New Roman" w:hAnsi="Times New Roman"/>
                <w:b w:val="0"/>
                <w:sz w:val="18"/>
              </w:rPr>
              <w:t>Declaration</w:t>
            </w:r>
          </w:p>
        </w:tc>
        <w:tc>
          <w:tcPr>
            <w:tcW w:type="dxa" w:w="1080"/>
            <w:vAlign w:val="center"/>
            <w:tcMar>
              <w:top w:w="80" w:type="dxa"/>
              <w:start w:w="95" w:type="dxa"/>
              <w:bottom w:w="80" w:type="dxa"/>
              <w:end w:w="95" w:type="dxa"/>
            </w:tcMar>
          </w:tcPr>
          <w:p>
            <w:pPr>
              <w:pStyle w:val="SmallTable"/>
              <w:jc w:val="center"/>
            </w:pPr>
            <w:r/>
            <w:r>
              <w:rPr>
                <w:rFonts w:ascii="Times New Roman" w:hAnsi="Times New Roman"/>
                <w:b w:val="0"/>
                <w:sz w:val="18"/>
              </w:rPr>
              <w:t>3</w:t>
            </w:r>
          </w:p>
        </w:tc>
      </w:tr>
      <w:tr>
        <w:tc>
          <w:tcPr>
            <w:tcW w:type="dxa" w:w="1584"/>
            <w:vAlign w:val="center"/>
            <w:tcMar>
              <w:top w:w="80" w:type="dxa"/>
              <w:start w:w="95" w:type="dxa"/>
              <w:bottom w:w="80" w:type="dxa"/>
              <w:end w:w="95" w:type="dxa"/>
            </w:tcMar>
            <w:shd w:fill="F1F5F8"/>
          </w:tcPr>
          <w:p>
            <w:pPr>
              <w:pStyle w:val="SmallTable"/>
              <w:jc w:val="center"/>
            </w:pPr>
            <w:r/>
            <w:r>
              <w:rPr>
                <w:rFonts w:ascii="Times New Roman" w:hAnsi="Times New Roman"/>
                <w:b w:val="0"/>
                <w:sz w:val="18"/>
              </w:rPr>
            </w:r>
          </w:p>
        </w:tc>
        <w:tc>
          <w:tcPr>
            <w:tcW w:type="dxa" w:w="6696"/>
            <w:vAlign w:val="center"/>
            <w:tcMar>
              <w:top w:w="80" w:type="dxa"/>
              <w:start w:w="95" w:type="dxa"/>
              <w:bottom w:w="80" w:type="dxa"/>
              <w:end w:w="95" w:type="dxa"/>
            </w:tcMar>
            <w:shd w:fill="F1F5F8"/>
          </w:tcPr>
          <w:p>
            <w:pPr>
              <w:pStyle w:val="SmallTable"/>
              <w:jc w:val="left"/>
            </w:pPr>
            <w:r/>
            <w:r>
              <w:rPr>
                <w:rFonts w:ascii="Times New Roman" w:hAnsi="Times New Roman"/>
                <w:b w:val="0"/>
                <w:sz w:val="18"/>
              </w:rPr>
              <w:t>Table of contents</w:t>
            </w:r>
          </w:p>
        </w:tc>
        <w:tc>
          <w:tcPr>
            <w:tcW w:type="dxa" w:w="1080"/>
            <w:vAlign w:val="center"/>
            <w:tcMar>
              <w:top w:w="80" w:type="dxa"/>
              <w:start w:w="95" w:type="dxa"/>
              <w:bottom w:w="80" w:type="dxa"/>
              <w:end w:w="95" w:type="dxa"/>
            </w:tcMar>
            <w:shd w:fill="F1F5F8"/>
          </w:tcPr>
          <w:p>
            <w:pPr>
              <w:pStyle w:val="SmallTable"/>
              <w:jc w:val="center"/>
            </w:pPr>
            <w:r/>
            <w:r>
              <w:rPr>
                <w:rFonts w:ascii="Times New Roman" w:hAnsi="Times New Roman"/>
                <w:b w:val="0"/>
                <w:sz w:val="18"/>
              </w:rPr>
              <w:t>4</w:t>
            </w:r>
          </w:p>
        </w:tc>
      </w:tr>
      <w:tr>
        <w:tc>
          <w:tcPr>
            <w:tcW w:type="dxa" w:w="1584"/>
            <w:vAlign w:val="center"/>
            <w:tcMar>
              <w:top w:w="80" w:type="dxa"/>
              <w:start w:w="95" w:type="dxa"/>
              <w:bottom w:w="80" w:type="dxa"/>
              <w:end w:w="95" w:type="dxa"/>
            </w:tcMar>
          </w:tcPr>
          <w:p>
            <w:pPr>
              <w:pStyle w:val="SmallTable"/>
              <w:jc w:val="center"/>
            </w:pPr>
            <w:r/>
            <w:r>
              <w:rPr>
                <w:rFonts w:ascii="Times New Roman" w:hAnsi="Times New Roman"/>
                <w:b w:val="0"/>
                <w:sz w:val="18"/>
              </w:rPr>
              <w:t>Chapter 4</w:t>
            </w:r>
          </w:p>
        </w:tc>
        <w:tc>
          <w:tcPr>
            <w:tcW w:type="dxa" w:w="6696"/>
            <w:vAlign w:val="center"/>
            <w:tcMar>
              <w:top w:w="80" w:type="dxa"/>
              <w:start w:w="95" w:type="dxa"/>
              <w:bottom w:w="80" w:type="dxa"/>
              <w:end w:w="95" w:type="dxa"/>
            </w:tcMar>
          </w:tcPr>
          <w:p>
            <w:pPr>
              <w:pStyle w:val="SmallTable"/>
              <w:jc w:val="left"/>
            </w:pPr>
            <w:r/>
            <w:r>
              <w:rPr>
                <w:rFonts w:ascii="Times New Roman" w:hAnsi="Times New Roman"/>
                <w:b w:val="0"/>
                <w:sz w:val="18"/>
              </w:rPr>
              <w:t>ABSTRACT AND KEYWORDS</w:t>
            </w:r>
          </w:p>
        </w:tc>
        <w:tc>
          <w:tcPr>
            <w:tcW w:type="dxa" w:w="1080"/>
            <w:vAlign w:val="center"/>
            <w:tcMar>
              <w:top w:w="80" w:type="dxa"/>
              <w:start w:w="95" w:type="dxa"/>
              <w:bottom w:w="80" w:type="dxa"/>
              <w:end w:w="95" w:type="dxa"/>
            </w:tcMar>
          </w:tcPr>
          <w:p>
            <w:pPr>
              <w:pStyle w:val="SmallTable"/>
              <w:jc w:val="center"/>
            </w:pPr>
            <w:r/>
            <w:r>
              <w:rPr>
                <w:rFonts w:ascii="Times New Roman" w:hAnsi="Times New Roman"/>
                <w:b w:val="0"/>
                <w:sz w:val="18"/>
              </w:rPr>
              <w:t>5</w:t>
            </w:r>
          </w:p>
        </w:tc>
      </w:tr>
      <w:tr>
        <w:tc>
          <w:tcPr>
            <w:tcW w:type="dxa" w:w="1584"/>
            <w:vAlign w:val="center"/>
            <w:tcMar>
              <w:top w:w="80" w:type="dxa"/>
              <w:start w:w="95" w:type="dxa"/>
              <w:bottom w:w="80" w:type="dxa"/>
              <w:end w:w="95" w:type="dxa"/>
            </w:tcMar>
            <w:shd w:fill="F1F5F8"/>
          </w:tcPr>
          <w:p>
            <w:pPr>
              <w:pStyle w:val="SmallTable"/>
              <w:jc w:val="center"/>
            </w:pPr>
            <w:r/>
            <w:r>
              <w:rPr>
                <w:rFonts w:ascii="Times New Roman" w:hAnsi="Times New Roman"/>
                <w:b w:val="0"/>
                <w:sz w:val="18"/>
              </w:rPr>
              <w:t>Chapter 5</w:t>
            </w:r>
          </w:p>
        </w:tc>
        <w:tc>
          <w:tcPr>
            <w:tcW w:type="dxa" w:w="6696"/>
            <w:vAlign w:val="center"/>
            <w:tcMar>
              <w:top w:w="80" w:type="dxa"/>
              <w:start w:w="95" w:type="dxa"/>
              <w:bottom w:w="80" w:type="dxa"/>
              <w:end w:w="95" w:type="dxa"/>
            </w:tcMar>
            <w:shd w:fill="F1F5F8"/>
          </w:tcPr>
          <w:p>
            <w:pPr>
              <w:pStyle w:val="SmallTable"/>
              <w:jc w:val="left"/>
            </w:pPr>
            <w:r/>
            <w:r>
              <w:rPr>
                <w:rFonts w:ascii="Times New Roman" w:hAnsi="Times New Roman"/>
                <w:b w:val="0"/>
                <w:sz w:val="18"/>
              </w:rPr>
              <w:t>INTRODUCTION</w:t>
            </w:r>
          </w:p>
        </w:tc>
        <w:tc>
          <w:tcPr>
            <w:tcW w:type="dxa" w:w="1080"/>
            <w:vAlign w:val="center"/>
            <w:tcMar>
              <w:top w:w="80" w:type="dxa"/>
              <w:start w:w="95" w:type="dxa"/>
              <w:bottom w:w="80" w:type="dxa"/>
              <w:end w:w="95" w:type="dxa"/>
            </w:tcMar>
            <w:shd w:fill="F1F5F8"/>
          </w:tcPr>
          <w:p>
            <w:pPr>
              <w:pStyle w:val="SmallTable"/>
              <w:jc w:val="center"/>
            </w:pPr>
            <w:r/>
            <w:r>
              <w:rPr>
                <w:rFonts w:ascii="Times New Roman" w:hAnsi="Times New Roman"/>
                <w:b w:val="0"/>
                <w:sz w:val="18"/>
              </w:rPr>
              <w:t>6</w:t>
            </w:r>
          </w:p>
        </w:tc>
      </w:tr>
      <w:tr>
        <w:tc>
          <w:tcPr>
            <w:tcW w:type="dxa" w:w="1584"/>
            <w:vAlign w:val="center"/>
            <w:tcMar>
              <w:top w:w="80" w:type="dxa"/>
              <w:start w:w="95" w:type="dxa"/>
              <w:bottom w:w="80" w:type="dxa"/>
              <w:end w:w="95" w:type="dxa"/>
            </w:tcMar>
          </w:tcPr>
          <w:p>
            <w:pPr>
              <w:pStyle w:val="SmallTable"/>
              <w:jc w:val="center"/>
            </w:pPr>
            <w:r/>
            <w:r>
              <w:rPr>
                <w:rFonts w:ascii="Times New Roman" w:hAnsi="Times New Roman"/>
                <w:b w:val="0"/>
                <w:sz w:val="18"/>
              </w:rPr>
              <w:t>Chapter 6</w:t>
            </w:r>
          </w:p>
        </w:tc>
        <w:tc>
          <w:tcPr>
            <w:tcW w:type="dxa" w:w="6696"/>
            <w:vAlign w:val="center"/>
            <w:tcMar>
              <w:top w:w="80" w:type="dxa"/>
              <w:start w:w="95" w:type="dxa"/>
              <w:bottom w:w="80" w:type="dxa"/>
              <w:end w:w="95" w:type="dxa"/>
            </w:tcMar>
          </w:tcPr>
          <w:p>
            <w:pPr>
              <w:pStyle w:val="SmallTable"/>
              <w:jc w:val="left"/>
            </w:pPr>
            <w:r/>
            <w:r>
              <w:rPr>
                <w:rFonts w:ascii="Times New Roman" w:hAnsi="Times New Roman"/>
                <w:b w:val="0"/>
                <w:sz w:val="18"/>
              </w:rPr>
              <w:t>LITERATURE REVIEW</w:t>
            </w:r>
          </w:p>
        </w:tc>
        <w:tc>
          <w:tcPr>
            <w:tcW w:type="dxa" w:w="1080"/>
            <w:vAlign w:val="center"/>
            <w:tcMar>
              <w:top w:w="80" w:type="dxa"/>
              <w:start w:w="95" w:type="dxa"/>
              <w:bottom w:w="80" w:type="dxa"/>
              <w:end w:w="95" w:type="dxa"/>
            </w:tcMar>
          </w:tcPr>
          <w:p>
            <w:pPr>
              <w:pStyle w:val="SmallTable"/>
              <w:jc w:val="center"/>
            </w:pPr>
            <w:r/>
            <w:r>
              <w:rPr>
                <w:rFonts w:ascii="Times New Roman" w:hAnsi="Times New Roman"/>
                <w:b w:val="0"/>
                <w:sz w:val="18"/>
              </w:rPr>
              <w:t>8</w:t>
            </w:r>
          </w:p>
        </w:tc>
      </w:tr>
      <w:tr>
        <w:tc>
          <w:tcPr>
            <w:tcW w:type="dxa" w:w="1584"/>
            <w:vAlign w:val="center"/>
            <w:tcMar>
              <w:top w:w="80" w:type="dxa"/>
              <w:start w:w="95" w:type="dxa"/>
              <w:bottom w:w="80" w:type="dxa"/>
              <w:end w:w="95" w:type="dxa"/>
            </w:tcMar>
            <w:shd w:fill="F1F5F8"/>
          </w:tcPr>
          <w:p>
            <w:pPr>
              <w:pStyle w:val="SmallTable"/>
              <w:jc w:val="center"/>
            </w:pPr>
            <w:r/>
            <w:r>
              <w:rPr>
                <w:rFonts w:ascii="Times New Roman" w:hAnsi="Times New Roman"/>
                <w:b w:val="0"/>
                <w:sz w:val="18"/>
              </w:rPr>
              <w:t>Chapter 7</w:t>
            </w:r>
          </w:p>
        </w:tc>
        <w:tc>
          <w:tcPr>
            <w:tcW w:type="dxa" w:w="6696"/>
            <w:vAlign w:val="center"/>
            <w:tcMar>
              <w:top w:w="80" w:type="dxa"/>
              <w:start w:w="95" w:type="dxa"/>
              <w:bottom w:w="80" w:type="dxa"/>
              <w:end w:w="95" w:type="dxa"/>
            </w:tcMar>
            <w:shd w:fill="F1F5F8"/>
          </w:tcPr>
          <w:p>
            <w:pPr>
              <w:pStyle w:val="SmallTable"/>
              <w:jc w:val="left"/>
            </w:pPr>
            <w:r/>
            <w:r>
              <w:rPr>
                <w:rFonts w:ascii="Times New Roman" w:hAnsi="Times New Roman"/>
                <w:b w:val="0"/>
                <w:sz w:val="18"/>
              </w:rPr>
              <w:t>RESEARCH METHODOLOGY</w:t>
            </w:r>
          </w:p>
        </w:tc>
        <w:tc>
          <w:tcPr>
            <w:tcW w:type="dxa" w:w="1080"/>
            <w:vAlign w:val="center"/>
            <w:tcMar>
              <w:top w:w="80" w:type="dxa"/>
              <w:start w:w="95" w:type="dxa"/>
              <w:bottom w:w="80" w:type="dxa"/>
              <w:end w:w="95" w:type="dxa"/>
            </w:tcMar>
            <w:shd w:fill="F1F5F8"/>
          </w:tcPr>
          <w:p>
            <w:pPr>
              <w:pStyle w:val="SmallTable"/>
              <w:jc w:val="center"/>
            </w:pPr>
            <w:r/>
            <w:r>
              <w:rPr>
                <w:rFonts w:ascii="Times New Roman" w:hAnsi="Times New Roman"/>
                <w:b w:val="0"/>
                <w:sz w:val="18"/>
              </w:rPr>
              <w:t>10</w:t>
            </w:r>
          </w:p>
        </w:tc>
      </w:tr>
      <w:tr>
        <w:tc>
          <w:tcPr>
            <w:tcW w:type="dxa" w:w="1584"/>
            <w:vAlign w:val="center"/>
            <w:tcMar>
              <w:top w:w="80" w:type="dxa"/>
              <w:start w:w="95" w:type="dxa"/>
              <w:bottom w:w="80" w:type="dxa"/>
              <w:end w:w="95" w:type="dxa"/>
            </w:tcMar>
          </w:tcPr>
          <w:p>
            <w:pPr>
              <w:pStyle w:val="SmallTable"/>
              <w:jc w:val="center"/>
            </w:pPr>
            <w:r/>
            <w:r>
              <w:rPr>
                <w:rFonts w:ascii="Times New Roman" w:hAnsi="Times New Roman"/>
                <w:b w:val="0"/>
                <w:sz w:val="18"/>
              </w:rPr>
              <w:t>Chapter 8</w:t>
            </w:r>
          </w:p>
        </w:tc>
        <w:tc>
          <w:tcPr>
            <w:tcW w:type="dxa" w:w="6696"/>
            <w:vAlign w:val="center"/>
            <w:tcMar>
              <w:top w:w="80" w:type="dxa"/>
              <w:start w:w="95" w:type="dxa"/>
              <w:bottom w:w="80" w:type="dxa"/>
              <w:end w:w="95" w:type="dxa"/>
            </w:tcMar>
          </w:tcPr>
          <w:p>
            <w:pPr>
              <w:pStyle w:val="SmallTable"/>
              <w:jc w:val="left"/>
            </w:pPr>
            <w:r/>
            <w:r>
              <w:rPr>
                <w:rFonts w:ascii="Times New Roman" w:hAnsi="Times New Roman"/>
                <w:b w:val="0"/>
                <w:sz w:val="18"/>
              </w:rPr>
              <w:t>ANALYSIS AND PROPOSED WORK</w:t>
            </w:r>
          </w:p>
        </w:tc>
        <w:tc>
          <w:tcPr>
            <w:tcW w:type="dxa" w:w="1080"/>
            <w:vAlign w:val="center"/>
            <w:tcMar>
              <w:top w:w="80" w:type="dxa"/>
              <w:start w:w="95" w:type="dxa"/>
              <w:bottom w:w="80" w:type="dxa"/>
              <w:end w:w="95" w:type="dxa"/>
            </w:tcMar>
          </w:tcPr>
          <w:p>
            <w:pPr>
              <w:pStyle w:val="SmallTable"/>
              <w:jc w:val="center"/>
            </w:pPr>
            <w:r/>
            <w:r>
              <w:rPr>
                <w:rFonts w:ascii="Times New Roman" w:hAnsi="Times New Roman"/>
                <w:b w:val="0"/>
                <w:sz w:val="18"/>
              </w:rPr>
              <w:t>12</w:t>
            </w:r>
          </w:p>
        </w:tc>
      </w:tr>
      <w:tr>
        <w:tc>
          <w:tcPr>
            <w:tcW w:type="dxa" w:w="1584"/>
            <w:vAlign w:val="center"/>
            <w:tcMar>
              <w:top w:w="80" w:type="dxa"/>
              <w:start w:w="95" w:type="dxa"/>
              <w:bottom w:w="80" w:type="dxa"/>
              <w:end w:w="95" w:type="dxa"/>
            </w:tcMar>
            <w:shd w:fill="F1F5F8"/>
          </w:tcPr>
          <w:p>
            <w:pPr>
              <w:pStyle w:val="SmallTable"/>
              <w:jc w:val="center"/>
            </w:pPr>
            <w:r/>
            <w:r>
              <w:rPr>
                <w:rFonts w:ascii="Times New Roman" w:hAnsi="Times New Roman"/>
                <w:b w:val="0"/>
                <w:sz w:val="18"/>
              </w:rPr>
              <w:t>Chapter 9</w:t>
            </w:r>
          </w:p>
        </w:tc>
        <w:tc>
          <w:tcPr>
            <w:tcW w:type="dxa" w:w="6696"/>
            <w:vAlign w:val="center"/>
            <w:tcMar>
              <w:top w:w="80" w:type="dxa"/>
              <w:start w:w="95" w:type="dxa"/>
              <w:bottom w:w="80" w:type="dxa"/>
              <w:end w:w="95" w:type="dxa"/>
            </w:tcMar>
            <w:shd w:fill="F1F5F8"/>
          </w:tcPr>
          <w:p>
            <w:pPr>
              <w:pStyle w:val="SmallTable"/>
              <w:jc w:val="left"/>
            </w:pPr>
            <w:r/>
            <w:r>
              <w:rPr>
                <w:rFonts w:ascii="Times New Roman" w:hAnsi="Times New Roman"/>
                <w:b w:val="0"/>
                <w:sz w:val="18"/>
              </w:rPr>
              <w:t>IMPLEMENTATION AND DEVELOPMENT</w:t>
            </w:r>
          </w:p>
        </w:tc>
        <w:tc>
          <w:tcPr>
            <w:tcW w:type="dxa" w:w="1080"/>
            <w:vAlign w:val="center"/>
            <w:tcMar>
              <w:top w:w="80" w:type="dxa"/>
              <w:start w:w="95" w:type="dxa"/>
              <w:bottom w:w="80" w:type="dxa"/>
              <w:end w:w="95" w:type="dxa"/>
            </w:tcMar>
            <w:shd w:fill="F1F5F8"/>
          </w:tcPr>
          <w:p>
            <w:pPr>
              <w:pStyle w:val="SmallTable"/>
              <w:jc w:val="center"/>
            </w:pPr>
            <w:r/>
            <w:r>
              <w:rPr>
                <w:rFonts w:ascii="Times New Roman" w:hAnsi="Times New Roman"/>
                <w:b w:val="0"/>
                <w:sz w:val="18"/>
              </w:rPr>
              <w:t>14</w:t>
            </w:r>
          </w:p>
        </w:tc>
      </w:tr>
      <w:tr>
        <w:tc>
          <w:tcPr>
            <w:tcW w:type="dxa" w:w="1584"/>
            <w:vAlign w:val="center"/>
            <w:tcMar>
              <w:top w:w="80" w:type="dxa"/>
              <w:start w:w="95" w:type="dxa"/>
              <w:bottom w:w="80" w:type="dxa"/>
              <w:end w:w="95" w:type="dxa"/>
            </w:tcMar>
          </w:tcPr>
          <w:p>
            <w:pPr>
              <w:pStyle w:val="SmallTable"/>
              <w:jc w:val="center"/>
            </w:pPr>
            <w:r/>
            <w:r>
              <w:rPr>
                <w:rFonts w:ascii="Times New Roman" w:hAnsi="Times New Roman"/>
                <w:b w:val="0"/>
                <w:sz w:val="18"/>
              </w:rPr>
              <w:t>Chapter 10</w:t>
            </w:r>
          </w:p>
        </w:tc>
        <w:tc>
          <w:tcPr>
            <w:tcW w:type="dxa" w:w="6696"/>
            <w:vAlign w:val="center"/>
            <w:tcMar>
              <w:top w:w="80" w:type="dxa"/>
              <w:start w:w="95" w:type="dxa"/>
              <w:bottom w:w="80" w:type="dxa"/>
              <w:end w:w="95" w:type="dxa"/>
            </w:tcMar>
          </w:tcPr>
          <w:p>
            <w:pPr>
              <w:pStyle w:val="SmallTable"/>
              <w:jc w:val="left"/>
            </w:pPr>
            <w:r/>
            <w:r>
              <w:rPr>
                <w:rFonts w:ascii="Times New Roman" w:hAnsi="Times New Roman"/>
                <w:b w:val="0"/>
                <w:sz w:val="18"/>
              </w:rPr>
              <w:t>RESULTS AND DISCUSSION</w:t>
            </w:r>
          </w:p>
        </w:tc>
        <w:tc>
          <w:tcPr>
            <w:tcW w:type="dxa" w:w="1080"/>
            <w:vAlign w:val="center"/>
            <w:tcMar>
              <w:top w:w="80" w:type="dxa"/>
              <w:start w:w="95" w:type="dxa"/>
              <w:bottom w:w="80" w:type="dxa"/>
              <w:end w:w="95" w:type="dxa"/>
            </w:tcMar>
          </w:tcPr>
          <w:p>
            <w:pPr>
              <w:pStyle w:val="SmallTable"/>
              <w:jc w:val="center"/>
            </w:pPr>
            <w:r/>
            <w:r>
              <w:rPr>
                <w:rFonts w:ascii="Times New Roman" w:hAnsi="Times New Roman"/>
                <w:b w:val="0"/>
                <w:sz w:val="18"/>
              </w:rPr>
              <w:t>16</w:t>
            </w:r>
          </w:p>
        </w:tc>
      </w:tr>
      <w:tr>
        <w:tc>
          <w:tcPr>
            <w:tcW w:type="dxa" w:w="1584"/>
            <w:vAlign w:val="center"/>
            <w:tcMar>
              <w:top w:w="80" w:type="dxa"/>
              <w:start w:w="95" w:type="dxa"/>
              <w:bottom w:w="80" w:type="dxa"/>
              <w:end w:w="95" w:type="dxa"/>
            </w:tcMar>
            <w:shd w:fill="F1F5F8"/>
          </w:tcPr>
          <w:p>
            <w:pPr>
              <w:pStyle w:val="SmallTable"/>
              <w:jc w:val="center"/>
            </w:pPr>
            <w:r/>
            <w:r>
              <w:rPr>
                <w:rFonts w:ascii="Times New Roman" w:hAnsi="Times New Roman"/>
                <w:b w:val="0"/>
                <w:sz w:val="18"/>
              </w:rPr>
              <w:t>Chapter 11</w:t>
            </w:r>
          </w:p>
        </w:tc>
        <w:tc>
          <w:tcPr>
            <w:tcW w:type="dxa" w:w="6696"/>
            <w:vAlign w:val="center"/>
            <w:tcMar>
              <w:top w:w="80" w:type="dxa"/>
              <w:start w:w="95" w:type="dxa"/>
              <w:bottom w:w="80" w:type="dxa"/>
              <w:end w:w="95" w:type="dxa"/>
            </w:tcMar>
            <w:shd w:fill="F1F5F8"/>
          </w:tcPr>
          <w:p>
            <w:pPr>
              <w:pStyle w:val="SmallTable"/>
              <w:jc w:val="left"/>
            </w:pPr>
            <w:r/>
            <w:r>
              <w:rPr>
                <w:rFonts w:ascii="Times New Roman" w:hAnsi="Times New Roman"/>
                <w:b w:val="0"/>
                <w:sz w:val="18"/>
              </w:rPr>
              <w:t>RESEARCH PAPER</w:t>
            </w:r>
          </w:p>
        </w:tc>
        <w:tc>
          <w:tcPr>
            <w:tcW w:type="dxa" w:w="1080"/>
            <w:vAlign w:val="center"/>
            <w:tcMar>
              <w:top w:w="80" w:type="dxa"/>
              <w:start w:w="95" w:type="dxa"/>
              <w:bottom w:w="80" w:type="dxa"/>
              <w:end w:w="95" w:type="dxa"/>
            </w:tcMar>
            <w:shd w:fill="F1F5F8"/>
          </w:tcPr>
          <w:p>
            <w:pPr>
              <w:pStyle w:val="SmallTable"/>
              <w:jc w:val="center"/>
            </w:pPr>
            <w:r/>
            <w:r>
              <w:rPr>
                <w:rFonts w:ascii="Times New Roman" w:hAnsi="Times New Roman"/>
                <w:b w:val="0"/>
                <w:sz w:val="18"/>
              </w:rPr>
              <w:t>18</w:t>
            </w:r>
          </w:p>
        </w:tc>
      </w:tr>
      <w:tr>
        <w:tc>
          <w:tcPr>
            <w:tcW w:type="dxa" w:w="1584"/>
            <w:vAlign w:val="center"/>
            <w:tcMar>
              <w:top w:w="80" w:type="dxa"/>
              <w:start w:w="95" w:type="dxa"/>
              <w:bottom w:w="80" w:type="dxa"/>
              <w:end w:w="95" w:type="dxa"/>
            </w:tcMar>
          </w:tcPr>
          <w:p>
            <w:pPr>
              <w:pStyle w:val="SmallTable"/>
              <w:jc w:val="center"/>
            </w:pPr>
            <w:r/>
            <w:r>
              <w:rPr>
                <w:rFonts w:ascii="Times New Roman" w:hAnsi="Times New Roman"/>
                <w:b w:val="0"/>
                <w:sz w:val="18"/>
              </w:rPr>
              <w:t>Chapter 12</w:t>
            </w:r>
          </w:p>
        </w:tc>
        <w:tc>
          <w:tcPr>
            <w:tcW w:type="dxa" w:w="6696"/>
            <w:vAlign w:val="center"/>
            <w:tcMar>
              <w:top w:w="80" w:type="dxa"/>
              <w:start w:w="95" w:type="dxa"/>
              <w:bottom w:w="80" w:type="dxa"/>
              <w:end w:w="95" w:type="dxa"/>
            </w:tcMar>
          </w:tcPr>
          <w:p>
            <w:pPr>
              <w:pStyle w:val="SmallTable"/>
              <w:jc w:val="left"/>
            </w:pPr>
            <w:r/>
            <w:r>
              <w:rPr>
                <w:rFonts w:ascii="Times New Roman" w:hAnsi="Times New Roman"/>
                <w:b w:val="0"/>
                <w:sz w:val="18"/>
              </w:rPr>
              <w:t>PLAGIARISM AND SIMILARITY REPORT</w:t>
            </w:r>
          </w:p>
        </w:tc>
        <w:tc>
          <w:tcPr>
            <w:tcW w:type="dxa" w:w="1080"/>
            <w:vAlign w:val="center"/>
            <w:tcMar>
              <w:top w:w="80" w:type="dxa"/>
              <w:start w:w="95" w:type="dxa"/>
              <w:bottom w:w="80" w:type="dxa"/>
              <w:end w:w="95" w:type="dxa"/>
            </w:tcMar>
          </w:tcPr>
          <w:p>
            <w:pPr>
              <w:pStyle w:val="SmallTable"/>
              <w:jc w:val="center"/>
            </w:pPr>
            <w:r/>
            <w:r>
              <w:rPr>
                <w:rFonts w:ascii="Times New Roman" w:hAnsi="Times New Roman"/>
                <w:b w:val="0"/>
                <w:sz w:val="18"/>
              </w:rPr>
              <w:t>20</w:t>
            </w:r>
          </w:p>
        </w:tc>
      </w:tr>
      <w:tr>
        <w:tc>
          <w:tcPr>
            <w:tcW w:type="dxa" w:w="1584"/>
            <w:vAlign w:val="center"/>
            <w:tcMar>
              <w:top w:w="80" w:type="dxa"/>
              <w:start w:w="95" w:type="dxa"/>
              <w:bottom w:w="80" w:type="dxa"/>
              <w:end w:w="95" w:type="dxa"/>
            </w:tcMar>
            <w:shd w:fill="F1F5F8"/>
          </w:tcPr>
          <w:p>
            <w:pPr>
              <w:pStyle w:val="SmallTable"/>
              <w:jc w:val="center"/>
            </w:pPr>
            <w:r/>
            <w:r>
              <w:rPr>
                <w:rFonts w:ascii="Times New Roman" w:hAnsi="Times New Roman"/>
                <w:b w:val="0"/>
                <w:sz w:val="18"/>
              </w:rPr>
              <w:t>Chapter 13</w:t>
            </w:r>
          </w:p>
        </w:tc>
        <w:tc>
          <w:tcPr>
            <w:tcW w:type="dxa" w:w="6696"/>
            <w:vAlign w:val="center"/>
            <w:tcMar>
              <w:top w:w="80" w:type="dxa"/>
              <w:start w:w="95" w:type="dxa"/>
              <w:bottom w:w="80" w:type="dxa"/>
              <w:end w:w="95" w:type="dxa"/>
            </w:tcMar>
            <w:shd w:fill="F1F5F8"/>
          </w:tcPr>
          <w:p>
            <w:pPr>
              <w:pStyle w:val="SmallTable"/>
              <w:jc w:val="left"/>
            </w:pPr>
            <w:r/>
            <w:r>
              <w:rPr>
                <w:rFonts w:ascii="Times New Roman" w:hAnsi="Times New Roman"/>
                <w:b w:val="0"/>
                <w:sz w:val="18"/>
              </w:rPr>
              <w:t>CONCLUSION LIMITATIONS AND FUTURE SCOPE</w:t>
            </w:r>
          </w:p>
        </w:tc>
        <w:tc>
          <w:tcPr>
            <w:tcW w:type="dxa" w:w="1080"/>
            <w:vAlign w:val="center"/>
            <w:tcMar>
              <w:top w:w="80" w:type="dxa"/>
              <w:start w:w="95" w:type="dxa"/>
              <w:bottom w:w="80" w:type="dxa"/>
              <w:end w:w="95" w:type="dxa"/>
            </w:tcMar>
            <w:shd w:fill="F1F5F8"/>
          </w:tcPr>
          <w:p>
            <w:pPr>
              <w:pStyle w:val="SmallTable"/>
              <w:jc w:val="center"/>
            </w:pPr>
            <w:r/>
            <w:r>
              <w:rPr>
                <w:rFonts w:ascii="Times New Roman" w:hAnsi="Times New Roman"/>
                <w:b w:val="0"/>
                <w:sz w:val="18"/>
              </w:rPr>
              <w:t>21</w:t>
            </w:r>
          </w:p>
        </w:tc>
      </w:tr>
      <w:tr>
        <w:tc>
          <w:tcPr>
            <w:tcW w:type="dxa" w:w="1584"/>
            <w:vAlign w:val="center"/>
            <w:tcMar>
              <w:top w:w="80" w:type="dxa"/>
              <w:start w:w="95" w:type="dxa"/>
              <w:bottom w:w="80" w:type="dxa"/>
              <w:end w:w="95" w:type="dxa"/>
            </w:tcMar>
          </w:tcPr>
          <w:p>
            <w:pPr>
              <w:pStyle w:val="SmallTable"/>
              <w:jc w:val="center"/>
            </w:pPr>
            <w:r/>
            <w:r>
              <w:rPr>
                <w:rFonts w:ascii="Times New Roman" w:hAnsi="Times New Roman"/>
                <w:b w:val="0"/>
                <w:sz w:val="18"/>
              </w:rPr>
              <w:t>Chapter 14</w:t>
            </w:r>
          </w:p>
        </w:tc>
        <w:tc>
          <w:tcPr>
            <w:tcW w:type="dxa" w:w="6696"/>
            <w:vAlign w:val="center"/>
            <w:tcMar>
              <w:top w:w="80" w:type="dxa"/>
              <w:start w:w="95" w:type="dxa"/>
              <w:bottom w:w="80" w:type="dxa"/>
              <w:end w:w="95" w:type="dxa"/>
            </w:tcMar>
          </w:tcPr>
          <w:p>
            <w:pPr>
              <w:pStyle w:val="SmallTable"/>
              <w:jc w:val="left"/>
            </w:pPr>
            <w:r/>
            <w:r>
              <w:rPr>
                <w:rFonts w:ascii="Times New Roman" w:hAnsi="Times New Roman"/>
                <w:b w:val="0"/>
                <w:sz w:val="18"/>
              </w:rPr>
              <w:t>REFERENCES AND BIBLIOGRAPHY</w:t>
            </w:r>
          </w:p>
        </w:tc>
        <w:tc>
          <w:tcPr>
            <w:tcW w:type="dxa" w:w="1080"/>
            <w:vAlign w:val="center"/>
            <w:tcMar>
              <w:top w:w="80" w:type="dxa"/>
              <w:start w:w="95" w:type="dxa"/>
              <w:bottom w:w="80" w:type="dxa"/>
              <w:end w:w="95" w:type="dxa"/>
            </w:tcMar>
          </w:tcPr>
          <w:p>
            <w:pPr>
              <w:pStyle w:val="SmallTable"/>
              <w:jc w:val="center"/>
            </w:pPr>
            <w:r/>
            <w:r>
              <w:rPr>
                <w:rFonts w:ascii="Times New Roman" w:hAnsi="Times New Roman"/>
                <w:b w:val="0"/>
                <w:sz w:val="18"/>
              </w:rPr>
              <w:t>22</w:t>
            </w:r>
          </w:p>
        </w:tc>
      </w:tr>
      <w:tr>
        <w:tc>
          <w:tcPr>
            <w:tcW w:type="dxa" w:w="1584"/>
            <w:vAlign w:val="center"/>
            <w:tcMar>
              <w:top w:w="80" w:type="dxa"/>
              <w:start w:w="95" w:type="dxa"/>
              <w:bottom w:w="80" w:type="dxa"/>
              <w:end w:w="95" w:type="dxa"/>
            </w:tcMar>
            <w:shd w:fill="F1F5F8"/>
          </w:tcPr>
          <w:p>
            <w:pPr>
              <w:pStyle w:val="SmallTable"/>
              <w:jc w:val="center"/>
            </w:pPr>
            <w:r/>
            <w:r>
              <w:rPr>
                <w:rFonts w:ascii="Times New Roman" w:hAnsi="Times New Roman"/>
                <w:b w:val="0"/>
                <w:sz w:val="18"/>
              </w:rPr>
              <w:t>Chapter 15</w:t>
            </w:r>
          </w:p>
        </w:tc>
        <w:tc>
          <w:tcPr>
            <w:tcW w:type="dxa" w:w="6696"/>
            <w:vAlign w:val="center"/>
            <w:tcMar>
              <w:top w:w="80" w:type="dxa"/>
              <w:start w:w="95" w:type="dxa"/>
              <w:bottom w:w="80" w:type="dxa"/>
              <w:end w:w="95" w:type="dxa"/>
            </w:tcMar>
            <w:shd w:fill="F1F5F8"/>
          </w:tcPr>
          <w:p>
            <w:pPr>
              <w:pStyle w:val="SmallTable"/>
              <w:jc w:val="left"/>
            </w:pPr>
            <w:r/>
            <w:r>
              <w:rPr>
                <w:rFonts w:ascii="Times New Roman" w:hAnsi="Times New Roman"/>
                <w:b w:val="0"/>
                <w:sz w:val="18"/>
              </w:rPr>
              <w:t>APPENDICES</w:t>
            </w:r>
          </w:p>
        </w:tc>
        <w:tc>
          <w:tcPr>
            <w:tcW w:type="dxa" w:w="1080"/>
            <w:vAlign w:val="center"/>
            <w:tcMar>
              <w:top w:w="80" w:type="dxa"/>
              <w:start w:w="95" w:type="dxa"/>
              <w:bottom w:w="80" w:type="dxa"/>
              <w:end w:w="95" w:type="dxa"/>
            </w:tcMar>
            <w:shd w:fill="F1F5F8"/>
          </w:tcPr>
          <w:p>
            <w:pPr>
              <w:pStyle w:val="SmallTable"/>
              <w:jc w:val="center"/>
            </w:pPr>
            <w:r/>
            <w:r>
              <w:rPr>
                <w:rFonts w:ascii="Times New Roman" w:hAnsi="Times New Roman"/>
                <w:b w:val="0"/>
                <w:sz w:val="18"/>
              </w:rPr>
              <w:t>23</w:t>
            </w:r>
          </w:p>
        </w:tc>
      </w:tr>
    </w:tbl>
    <w:p>
      <w:r>
        <w:rPr>
          <w:i w:val="0"/>
        </w:rPr>
        <w:t>The report separates implementation facts, reported metrics, analytical examples, and pending evaluation evidence. The research-paper chapter is included as a two-column paper within the project report.</w:t>
      </w:r>
    </w:p>
    <w:p>
      <w:pPr>
        <w:keepNext/>
        <w:pageBreakBefore/>
        <w:spacing w:after="240"/>
      </w:pPr>
      <w:r>
        <w:rPr>
          <w:rFonts w:ascii="Times New Roman" w:hAnsi="Times New Roman"/>
          <w:b/>
          <w:color w:val="102C43"/>
          <w:sz w:val="30"/>
        </w:rPr>
        <w:t>CHAPTER 4  ABSTRACT AND KEYWORDS</w:t>
      </w:r>
    </w:p>
    <w:p>
      <w:pPr>
        <w:pStyle w:val="Heading2"/>
      </w:pPr>
      <w:r>
        <w:t>4.1 Abstract</w:t>
      </w:r>
    </w:p>
    <w:p>
      <w:r>
        <w:rPr>
          <w:i w:val="0"/>
        </w:rPr>
        <w:t>SynthGuard is a local threat-analysis prototype that examines phishing-related email text, synthetic-speech indicators, and manipulated-face video evidence through three independent model paths. A FastAPI service loads local model checkpoints and returns modality scores. A late-fusion function combines the available scores using equal weights, with a high-confidence audio or video veto, while a React and TypeScript interface supports single-modality and multimodal analysis. The browser can retain lightweight report metadata in local storage and generate a PDF report locally. The project implements a DistilBERT email classifier, an MFCC-based convolutional audio classifier, and an EfficientNet-B0 video classifier preceded by MTCNN face detection. The available saved email classification report states 98.8% accuracy on 3,508 test examples; however, a project handover records confusion counts that imply 98.69%, so the precise figure requires reconciliation against saved predictions. Audio and video model checkpoints are present, but this project snapshot contains no completed, reproducible performance reports for those models or for paired multimodal fusion. The report therefore documents the implemented architecture and evidence status without presenting the earlier 99.1% fusion claim as a measured result.</w:t>
      </w:r>
    </w:p>
    <w:p>
      <w:pPr>
        <w:pStyle w:val="Heading2"/>
      </w:pPr>
      <w:r>
        <w:t>4.2 Keywords</w:t>
      </w:r>
    </w:p>
    <w:p>
      <w:r>
        <w:rPr>
          <w:i w:val="0"/>
        </w:rPr>
        <w:t>Phishing detection, Business Email Compromise, DistilBERT, speech spoofing, MFCC, deepfake video, EfficientNet-B0, MTCNN, late fusion, local inference, forensic reporting.</w:t>
      </w:r>
    </w:p>
    <w:p>
      <w:pPr>
        <w:keepNext/>
        <w:pageBreakBefore/>
        <w:spacing w:after="240"/>
      </w:pPr>
      <w:r>
        <w:rPr>
          <w:rFonts w:ascii="Times New Roman" w:hAnsi="Times New Roman"/>
          <w:b/>
          <w:color w:val="102C43"/>
          <w:sz w:val="30"/>
        </w:rPr>
        <w:t>CHAPTER 5  INTRODUCTION</w:t>
      </w:r>
    </w:p>
    <w:p>
      <w:pPr>
        <w:pStyle w:val="Heading2"/>
      </w:pPr>
      <w:r>
        <w:t>5.1 Background and Context</w:t>
      </w:r>
    </w:p>
    <w:p>
      <w:r>
        <w:rPr>
          <w:i w:val="0"/>
        </w:rPr>
        <w:t>Digital attacks increasingly combine ordinary messages with impersonation and synthetic media. A fraudulent payment request may arrive as text, be reinforced by a cloned voice message, or be accompanied by manipulated video. Each channel exposes different evidence: language models examine content, audio models examine speech features, and visual models examine facial regions. A single detector cannot directly represent all of these signals.</w:t>
      </w:r>
    </w:p>
    <w:p>
      <w:r>
        <w:rPr>
          <w:i w:val="0"/>
        </w:rPr>
        <w:t>SynthGuard was developed as a student research prototype that connects separate text, audio, and video detectors to a shared analysis workflow. The application is designed to run its inference models locally behind a FastAPI service, with a React interface for submitting evidence and inspecting scores. The system aims to give an analyst a compact, explainable view of model outputs rather than to make an autonomous financial or security decision.</w:t>
      </w:r>
    </w:p>
    <w:p>
      <w:pPr>
        <w:pStyle w:val="Heading2"/>
      </w:pPr>
      <w:r>
        <w:t>5.2 Problem Statement</w:t>
      </w:r>
    </w:p>
    <w:p>
      <w:r>
        <w:rPr>
          <w:i w:val="0"/>
        </w:rPr>
        <w:t>Standalone detectors produce modality-specific outputs and may fail when an attack moves across channels or when one model is uncertain. Analysts also need to understand which sensors processed successfully, how the final score was formed, and what evidence contributed to the verdict. SynthGuard addresses the integration problem by providing separate modality paths, a shared score interface, a rule-based fusion function, and a local reporting workflow. Its current evaluation evidence does not yet establish that fusion improves detection accuracy on real paired attacks.</w:t>
      </w:r>
    </w:p>
    <w:p>
      <w:pPr>
        <w:pStyle w:val="Heading2"/>
      </w:pPr>
      <w:r>
        <w:t>5.3 Aim</w:t>
      </w:r>
    </w:p>
    <w:p>
      <w:r>
        <w:rPr>
          <w:i w:val="0"/>
        </w:rPr>
        <w:t>To design and implement a local multimodal analysis prototype that accepts email, audio, and video evidence, runs specialized local detectors, combines available scores through a documented late-fusion rule, and presents the output in an analyst-oriented interface.</w:t>
      </w:r>
    </w:p>
    <w:p>
      <w:pPr>
        <w:pStyle w:val="Heading2"/>
      </w:pPr>
      <w:r>
        <w:t>5.4 Objectives</w:t>
      </w:r>
    </w:p>
    <w:p>
      <w:pPr>
        <w:spacing w:after="60"/>
        <w:ind w:left="432" w:hanging="216"/>
      </w:pPr>
      <w:r>
        <w:t>1. Integrate a locally loaded DistilBERT classifier for phishing-related email text.</w:t>
      </w:r>
    </w:p>
    <w:p>
      <w:pPr>
        <w:spacing w:after="60"/>
        <w:ind w:left="432" w:hanging="216"/>
      </w:pPr>
      <w:r>
        <w:t>2. Implement audio spoof scoring using MFCC features and a convolutional neural network.</w:t>
      </w:r>
    </w:p>
    <w:p>
      <w:pPr>
        <w:spacing w:after="60"/>
        <w:ind w:left="432" w:hanging="216"/>
      </w:pPr>
      <w:r>
        <w:t>3. Implement video face-region scoring using MTCNN and an EfficientNet-B0 classifier.</w:t>
      </w:r>
    </w:p>
    <w:p>
      <w:pPr>
        <w:spacing w:after="60"/>
        <w:ind w:left="432" w:hanging="216"/>
      </w:pPr>
      <w:r>
        <w:t>4. Combine sensor scores with equal-weight dynamic fusion and a high-confidence biometric veto.</w:t>
      </w:r>
    </w:p>
    <w:p>
      <w:pPr>
        <w:spacing w:after="60"/>
        <w:ind w:left="432" w:hanging="216"/>
      </w:pPr>
      <w:r>
        <w:t>5. Expose analysis and health endpoints through a local FastAPI backend.</w:t>
      </w:r>
    </w:p>
    <w:p>
      <w:pPr>
        <w:spacing w:after="60"/>
        <w:ind w:left="432" w:hanging="216"/>
      </w:pPr>
      <w:r>
        <w:t>6. Provide a React interface with modality status, threat indicators, report history, and client-side PDF export.</w:t>
      </w:r>
    </w:p>
    <w:p>
      <w:pPr>
        <w:spacing w:after="60"/>
        <w:ind w:left="432" w:hanging="216"/>
      </w:pPr>
      <w:r>
        <w:t>7. Document the limits of available evaluation evidence and define a reproducible paired-scenario benchmark process.</w:t>
      </w:r>
    </w:p>
    <w:p>
      <w:pPr>
        <w:pStyle w:val="Heading2"/>
      </w:pPr>
      <w:r>
        <w:t>5.5 Scope of the Study</w:t>
      </w:r>
    </w:p>
    <w:p>
      <w:r>
        <w:rPr>
          <w:i w:val="0"/>
        </w:rPr>
        <w:t>The implementation scope covers three input modalities and a browser-based analyst interface. The email path accepts text. The audio path accepts supported audio files and extracts fixed-length MFCC features. The video path samples frames, detects faces, and averages up to five face-region model scores. The multimodal endpoint accepts any subset of email text, audio, and video; unavailable or failed modalities are reported in the response. The project does not include a validated enterprise mail gateway, active response, identity verification, financial transaction control, or independent human review workflow.</w:t>
      </w:r>
    </w:p>
    <w:p>
      <w:pPr>
        <w:pStyle w:val="Heading2"/>
      </w:pPr>
      <w:r>
        <w:t>5.6 Motivation and Contribution</w:t>
      </w:r>
    </w:p>
    <w:p>
      <w:r>
        <w:rPr>
          <w:i w:val="0"/>
        </w:rPr>
        <w:t>The project brings a small set of independently trained detectors into one local investigation flow and makes the fusion rule visible and inspectable. Its contribution is primarily an implemented prototype and an evaluation design, not a claim of state-of-the-art accuracy. The most important research contribution still to be completed is a properly split, source-linked multimodal test set that allows all seven non-empty sensor subsets to be compared without manufacturing unrelated cross-modal pairs.</w:t>
      </w:r>
    </w:p>
    <w:p>
      <w:pPr>
        <w:keepNext/>
        <w:pageBreakBefore/>
        <w:spacing w:after="240"/>
      </w:pPr>
      <w:r>
        <w:rPr>
          <w:rFonts w:ascii="Times New Roman" w:hAnsi="Times New Roman"/>
          <w:b/>
          <w:color w:val="102C43"/>
          <w:sz w:val="30"/>
        </w:rPr>
        <w:t>CHAPTER 6  LITERATURE REVIEW</w:t>
      </w:r>
    </w:p>
    <w:p>
      <w:pPr>
        <w:pStyle w:val="Heading2"/>
      </w:pPr>
      <w:r>
        <w:t>6.1 Transformer Models for Email Classification</w:t>
      </w:r>
    </w:p>
    <w:p>
      <w:r>
        <w:rPr>
          <w:i w:val="0"/>
        </w:rPr>
        <w:t>DistilBERT is a compact transformer language model produced through knowledge distillation. Sanh et al. describe its design as a smaller and faster alternative to BERT for downstream language tasks [1]. SynthGuard uses a DistilBERT sequence-classification checkpoint to assign a phishing probability to email text. This choice provides contextual language representations, but a high score on a single email corpus does not demonstrate robustness to new organizations, current attack campaigns, multilingual messages, or changes in email formatting.</w:t>
      </w:r>
    </w:p>
    <w:p>
      <w:r>
        <w:rPr>
          <w:i w:val="0"/>
        </w:rPr>
        <w:t>The project notebook loads the Kaggle Phishing Email dataset, removes rows with missing fields and duplicate records, maps safe email to class 0 and phishing email to class 1, and creates an 80/20 stratified split with random state 42. The notebook records 17,538 cleaned examples and a 3,508-example test subset. Corpus quality, duplicate handling, source diversity, and the distinction between phishing and broader spam remain relevant threats to external validity.</w:t>
      </w:r>
    </w:p>
    <w:p>
      <w:pPr>
        <w:pStyle w:val="Heading2"/>
      </w:pPr>
      <w:r>
        <w:t>6.2 Audio Spoof Detection and MFCC Features</w:t>
      </w:r>
    </w:p>
    <w:p>
      <w:r>
        <w:rPr>
          <w:i w:val="0"/>
        </w:rPr>
        <w:t>The ASVspoof challenge series provides standardized tasks for detecting spoofed speech and synthetic speech. The 2021 challenge separates logical-access, physical-access, and deepfake tracks and specifies benchmark data and evaluation procedures [3]. SynthGuard represents audio with 40 MFCC coefficients at a 16 kHz sample rate, using a 2,048-sample analysis window and a 512-sample hop, then pads or truncates to 300 frames. MFCCs summarize short-time spectral shape and have a long history in speech processing [8]. They are a feature representation, not by themselves a guarantee of spoof generalization.</w:t>
      </w:r>
    </w:p>
    <w:p>
      <w:pPr>
        <w:pStyle w:val="Heading2"/>
      </w:pPr>
      <w:r>
        <w:t>6.3 Video Manipulation Detection</w:t>
      </w:r>
    </w:p>
    <w:p>
      <w:r>
        <w:rPr>
          <w:i w:val="0"/>
        </w:rPr>
        <w:t>FaceForensics++ introduced a benchmark containing manipulated facial videos, including DeepFakes, Face2Face, FaceSwap, and NeuralTextures, with multiple compression conditions [4]. EfficientNet uses compound scaling across network dimensions to balance accuracy and computational cost [5]. MTCNN uses a cascaded convolutional approach to locate and align faces [6]. SynthGuard applies MTCNN to sampled frames and then classifies extracted face crops with EfficientNet-B0. The current inference pipeline is therefore dependent on face visibility, crop quality, compression, and the manipulation types represented in training data.</w:t>
      </w:r>
    </w:p>
    <w:p>
      <w:pPr>
        <w:pStyle w:val="Heading2"/>
      </w:pPr>
      <w:r>
        <w:t>6.4 Classifier Combination and Late Fusion</w:t>
      </w:r>
    </w:p>
    <w:p>
      <w:r>
        <w:rPr>
          <w:i w:val="0"/>
        </w:rPr>
        <w:t>Classifier combination research studies how evidence from distinct representations can be combined into a final decision. Kittler et al. provide a theoretical and experimental framework for combining classifier outputs [7]. SynthGuard uses a simple normalized arithmetic mean across the sensor scores that are present and adds a hand-coded veto when audio or video probability is at least 0.85. This rule is an engineering decision that must be assessed empirically; the general literature does not validate SynthGuard’s specific weights or veto threshold.</w:t>
      </w:r>
    </w:p>
    <w:p>
      <w:pPr>
        <w:pStyle w:val="Heading2"/>
      </w:pPr>
      <w:r>
        <w:t>6.5 Research Gap</w:t>
      </w:r>
    </w:p>
    <w:p>
      <w:r>
        <w:rPr>
          <w:i w:val="0"/>
        </w:rPr>
        <w:t>The project addresses an integration gap in its prototype by making text, voice, and face-based outputs available through one local workflow. A larger research gap remains: public corpora are organized by modality and often do not contain aligned email, voice, and video from one coherent social-engineering scenario. Without authentic pairing and scenario-level labels, fusion metrics can measure dataset construction choices rather than the benefit of multimodal evidence. The project benchmark documentation accordingly requires a curated manifest with independent validation and test groups.</w:t>
      </w:r>
    </w:p>
    <w:p>
      <w:pPr>
        <w:pStyle w:val="Heading2"/>
      </w:pPr>
      <w:r>
        <w:t>6.6 Literature Review Summary</w:t>
      </w:r>
    </w:p>
    <w:p>
      <w:r>
        <w:rPr>
          <w:i w:val="0"/>
        </w:rPr>
        <w:t>The model and dataset literature supports the selection of a transformer text sensor, an MFCC-based speech sensor, a face-crop video sensor, and a score-combination layer. It does not support transferring benchmark results from those source works to SynthGuard. Model metrics must be produced from the specific saved checkpoints and evaluation data used by this project.</w:t>
      </w:r>
    </w:p>
    <w:p>
      <w:pPr>
        <w:keepNext/>
        <w:pageBreakBefore/>
        <w:spacing w:after="240"/>
      </w:pPr>
      <w:r>
        <w:rPr>
          <w:rFonts w:ascii="Times New Roman" w:hAnsi="Times New Roman"/>
          <w:b/>
          <w:color w:val="102C43"/>
          <w:sz w:val="30"/>
        </w:rPr>
        <w:t>CHAPTER 7  RESEARCH METHODOLOGY</w:t>
      </w:r>
    </w:p>
    <w:p>
      <w:pPr>
        <w:pStyle w:val="Heading2"/>
      </w:pPr>
      <w:r>
        <w:t>7.1 Research Approach</w:t>
      </w:r>
    </w:p>
    <w:p>
      <w:r>
        <w:rPr>
          <w:i w:val="0"/>
        </w:rPr>
        <w:t>This work follows a design-and-implementation approach. The three sensors are treated as independent predictors; the API standardizes their outputs; and a deterministic fusion function combines the available probabilities. The report distinguishes implementation verification from model-performance evaluation. API operation and score routing can be checked with functional tests, while accuracy requires labeled examples that were not used for training or threshold selection.</w:t>
      </w:r>
    </w:p>
    <w:p>
      <w:pPr>
        <w:pStyle w:val="Heading2"/>
      </w:pPr>
      <w:r>
        <w:t>7.2 Data Sources and Sample Definition</w:t>
      </w:r>
    </w:p>
    <w:tbl>
      <w:tblPr>
        <w:tblW w:type="auto" w:w="0"/>
        <w:jc w:val="center"/>
        <w:tblLayout w:type="fixed"/>
        <w:tblLook w:firstColumn="1" w:firstRow="1" w:lastColumn="0" w:lastRow="0" w:noHBand="0" w:noVBand="1" w:val="04A0"/>
        <w:tblBorders>
          <w:top w:val="single" w:sz="5" w:space="0" w:color="9BAABA"/>
          <w:left w:val="single" w:sz="5" w:space="0" w:color="9BAABA"/>
          <w:bottom w:val="single" w:sz="5" w:space="0" w:color="9BAABA"/>
          <w:right w:val="single" w:sz="5" w:space="0" w:color="9BAABA"/>
          <w:insideH w:val="single" w:sz="5" w:space="0" w:color="9BAABA"/>
          <w:insideV w:val="single" w:sz="5" w:space="0" w:color="9BAABA"/>
        </w:tblBorders>
      </w:tblPr>
      <w:tblGrid>
        <w:gridCol w:w="1152"/>
        <w:gridCol w:w="2952"/>
        <w:gridCol w:w="2016"/>
        <w:gridCol w:w="2880"/>
      </w:tblGrid>
      <w:tr>
        <w:trPr>
          <w:tblHeader w:val="true"/>
        </w:trPr>
        <w:tc>
          <w:tcPr>
            <w:tcW w:type="dxa" w:w="2329"/>
            <w:vAlign w:val="center"/>
            <w:tcMar>
              <w:top w:w="80" w:type="dxa"/>
              <w:start w:w="95" w:type="dxa"/>
              <w:bottom w:w="80" w:type="dxa"/>
              <w:end w:w="95" w:type="dxa"/>
            </w:tcMar>
            <w:shd w:fill="18364F"/>
          </w:tcPr>
          <w:p>
            <w:pPr>
              <w:pStyle w:val="SmallTable"/>
              <w:jc w:val="left"/>
            </w:pPr>
            <w:r/>
            <w:r>
              <w:rPr>
                <w:rFonts w:ascii="Times New Roman" w:hAnsi="Times New Roman"/>
                <w:b/>
                <w:color w:val="FFFFFF"/>
                <w:sz w:val="16"/>
              </w:rPr>
              <w:t>Modality</w:t>
            </w:r>
          </w:p>
        </w:tc>
        <w:tc>
          <w:tcPr>
            <w:tcW w:type="dxa" w:w="2329"/>
            <w:vAlign w:val="center"/>
            <w:tcMar>
              <w:top w:w="80" w:type="dxa"/>
              <w:start w:w="95" w:type="dxa"/>
              <w:bottom w:w="80" w:type="dxa"/>
              <w:end w:w="95" w:type="dxa"/>
            </w:tcMar>
            <w:shd w:fill="18364F"/>
          </w:tcPr>
          <w:p>
            <w:pPr>
              <w:pStyle w:val="SmallTable"/>
              <w:jc w:val="left"/>
            </w:pPr>
            <w:r/>
            <w:r>
              <w:rPr>
                <w:rFonts w:ascii="Times New Roman" w:hAnsi="Times New Roman"/>
                <w:b/>
                <w:color w:val="FFFFFF"/>
                <w:sz w:val="16"/>
              </w:rPr>
              <w:t>Project data source</w:t>
            </w:r>
          </w:p>
        </w:tc>
        <w:tc>
          <w:tcPr>
            <w:tcW w:type="dxa" w:w="2329"/>
            <w:vAlign w:val="center"/>
            <w:tcMar>
              <w:top w:w="80" w:type="dxa"/>
              <w:start w:w="95" w:type="dxa"/>
              <w:bottom w:w="80" w:type="dxa"/>
              <w:end w:w="95" w:type="dxa"/>
            </w:tcMar>
            <w:shd w:fill="18364F"/>
          </w:tcPr>
          <w:p>
            <w:pPr>
              <w:pStyle w:val="SmallTable"/>
              <w:jc w:val="left"/>
            </w:pPr>
            <w:r/>
            <w:r>
              <w:rPr>
                <w:rFonts w:ascii="Times New Roman" w:hAnsi="Times New Roman"/>
                <w:b/>
                <w:color w:val="FFFFFF"/>
                <w:sz w:val="16"/>
              </w:rPr>
              <w:t>Label meaning</w:t>
            </w:r>
          </w:p>
        </w:tc>
        <w:tc>
          <w:tcPr>
            <w:tcW w:type="dxa" w:w="2329"/>
            <w:vAlign w:val="center"/>
            <w:tcMar>
              <w:top w:w="80" w:type="dxa"/>
              <w:start w:w="95" w:type="dxa"/>
              <w:bottom w:w="80" w:type="dxa"/>
              <w:end w:w="95" w:type="dxa"/>
            </w:tcMar>
            <w:shd w:fill="18364F"/>
          </w:tcPr>
          <w:p>
            <w:pPr>
              <w:pStyle w:val="SmallTable"/>
              <w:jc w:val="left"/>
            </w:pPr>
            <w:r/>
            <w:r>
              <w:rPr>
                <w:rFonts w:ascii="Times New Roman" w:hAnsi="Times New Roman"/>
                <w:b/>
                <w:color w:val="FFFFFF"/>
                <w:sz w:val="16"/>
              </w:rPr>
              <w:t>Evidence currently available</w:t>
            </w:r>
          </w:p>
        </w:tc>
      </w:tr>
      <w:tr>
        <w:tc>
          <w:tcPr>
            <w:tcW w:type="dxa" w:w="1152"/>
            <w:vAlign w:val="center"/>
            <w:tcMar>
              <w:top w:w="80" w:type="dxa"/>
              <w:start w:w="95" w:type="dxa"/>
              <w:bottom w:w="80" w:type="dxa"/>
              <w:end w:w="95" w:type="dxa"/>
            </w:tcMar>
          </w:tcPr>
          <w:p>
            <w:pPr>
              <w:pStyle w:val="SmallTable"/>
              <w:jc w:val="left"/>
            </w:pPr>
            <w:r/>
            <w:r>
              <w:rPr>
                <w:rFonts w:ascii="Times New Roman" w:hAnsi="Times New Roman"/>
                <w:b w:val="0"/>
                <w:sz w:val="16"/>
              </w:rPr>
              <w:t>Email</w:t>
            </w:r>
          </w:p>
        </w:tc>
        <w:tc>
          <w:tcPr>
            <w:tcW w:type="dxa" w:w="2952"/>
            <w:vAlign w:val="center"/>
            <w:tcMar>
              <w:top w:w="80" w:type="dxa"/>
              <w:start w:w="95" w:type="dxa"/>
              <w:bottom w:w="80" w:type="dxa"/>
              <w:end w:w="95" w:type="dxa"/>
            </w:tcMar>
          </w:tcPr>
          <w:p>
            <w:pPr>
              <w:pStyle w:val="SmallTable"/>
              <w:jc w:val="left"/>
            </w:pPr>
            <w:r/>
            <w:r>
              <w:rPr>
                <w:rFonts w:ascii="Times New Roman" w:hAnsi="Times New Roman"/>
                <w:b w:val="0"/>
                <w:sz w:val="16"/>
              </w:rPr>
              <w:t>Kaggle Phishing Email dataset; local notebook records an initial 18,650 rows and 17,538 after cleaning [2]</w:t>
            </w:r>
          </w:p>
        </w:tc>
        <w:tc>
          <w:tcPr>
            <w:tcW w:type="dxa" w:w="2016"/>
            <w:vAlign w:val="center"/>
            <w:tcMar>
              <w:top w:w="80" w:type="dxa"/>
              <w:start w:w="95" w:type="dxa"/>
              <w:bottom w:w="80" w:type="dxa"/>
              <w:end w:w="95" w:type="dxa"/>
            </w:tcMar>
          </w:tcPr>
          <w:p>
            <w:pPr>
              <w:pStyle w:val="SmallTable"/>
              <w:jc w:val="left"/>
            </w:pPr>
            <w:r/>
            <w:r>
              <w:rPr>
                <w:rFonts w:ascii="Times New Roman" w:hAnsi="Times New Roman"/>
                <w:b w:val="0"/>
                <w:sz w:val="16"/>
              </w:rPr>
              <w:t>Safe / phishing</w:t>
            </w:r>
          </w:p>
        </w:tc>
        <w:tc>
          <w:tcPr>
            <w:tcW w:type="dxa" w:w="2880"/>
            <w:vAlign w:val="center"/>
            <w:tcMar>
              <w:top w:w="80" w:type="dxa"/>
              <w:start w:w="95" w:type="dxa"/>
              <w:bottom w:w="80" w:type="dxa"/>
              <w:end w:w="95" w:type="dxa"/>
            </w:tcMar>
          </w:tcPr>
          <w:p>
            <w:pPr>
              <w:pStyle w:val="SmallTable"/>
              <w:jc w:val="left"/>
            </w:pPr>
            <w:r/>
            <w:r>
              <w:rPr>
                <w:rFonts w:ascii="Times New Roman" w:hAnsi="Times New Roman"/>
                <w:b w:val="0"/>
                <w:sz w:val="16"/>
              </w:rPr>
              <w:t>Saved classification report, N=3,508; prediction-level export not found.</w:t>
            </w:r>
          </w:p>
        </w:tc>
      </w:tr>
      <w:tr>
        <w:tc>
          <w:tcPr>
            <w:tcW w:type="dxa" w:w="1152"/>
            <w:vAlign w:val="center"/>
            <w:tcMar>
              <w:top w:w="80" w:type="dxa"/>
              <w:start w:w="95" w:type="dxa"/>
              <w:bottom w:w="80" w:type="dxa"/>
              <w:end w:w="95" w:type="dxa"/>
            </w:tcMar>
            <w:shd w:fill="F1F5F8"/>
          </w:tcPr>
          <w:p>
            <w:pPr>
              <w:pStyle w:val="SmallTable"/>
              <w:jc w:val="left"/>
            </w:pPr>
            <w:r/>
            <w:r>
              <w:rPr>
                <w:rFonts w:ascii="Times New Roman" w:hAnsi="Times New Roman"/>
                <w:b w:val="0"/>
                <w:sz w:val="16"/>
              </w:rPr>
              <w:t>Audio</w:t>
            </w:r>
          </w:p>
        </w:tc>
        <w:tc>
          <w:tcPr>
            <w:tcW w:type="dxa" w:w="2952"/>
            <w:vAlign w:val="center"/>
            <w:tcMar>
              <w:top w:w="80" w:type="dxa"/>
              <w:start w:w="95" w:type="dxa"/>
              <w:bottom w:w="80" w:type="dxa"/>
              <w:end w:w="95" w:type="dxa"/>
            </w:tcMar>
            <w:shd w:fill="F1F5F8"/>
          </w:tcPr>
          <w:p>
            <w:pPr>
              <w:pStyle w:val="SmallTable"/>
              <w:jc w:val="left"/>
            </w:pPr>
            <w:r/>
            <w:r>
              <w:rPr>
                <w:rFonts w:ascii="Times New Roman" w:hAnsi="Times New Roman"/>
                <w:b w:val="0"/>
                <w:sz w:val="16"/>
              </w:rPr>
              <w:t>ASVspoof 2021 logical-access data [3]</w:t>
            </w:r>
          </w:p>
        </w:tc>
        <w:tc>
          <w:tcPr>
            <w:tcW w:type="dxa" w:w="2016"/>
            <w:vAlign w:val="center"/>
            <w:tcMar>
              <w:top w:w="80" w:type="dxa"/>
              <w:start w:w="95" w:type="dxa"/>
              <w:bottom w:w="80" w:type="dxa"/>
              <w:end w:w="95" w:type="dxa"/>
            </w:tcMar>
            <w:shd w:fill="F1F5F8"/>
          </w:tcPr>
          <w:p>
            <w:pPr>
              <w:pStyle w:val="SmallTable"/>
              <w:jc w:val="left"/>
            </w:pPr>
            <w:r/>
            <w:r>
              <w:rPr>
                <w:rFonts w:ascii="Times New Roman" w:hAnsi="Times New Roman"/>
                <w:b w:val="0"/>
                <w:sz w:val="16"/>
              </w:rPr>
              <w:t>Genuine / spoof</w:t>
            </w:r>
          </w:p>
        </w:tc>
        <w:tc>
          <w:tcPr>
            <w:tcW w:type="dxa" w:w="2880"/>
            <w:vAlign w:val="center"/>
            <w:tcMar>
              <w:top w:w="80" w:type="dxa"/>
              <w:start w:w="95" w:type="dxa"/>
              <w:bottom w:w="80" w:type="dxa"/>
              <w:end w:w="95" w:type="dxa"/>
            </w:tcMar>
            <w:shd w:fill="F1F5F8"/>
          </w:tcPr>
          <w:p>
            <w:pPr>
              <w:pStyle w:val="SmallTable"/>
              <w:jc w:val="left"/>
            </w:pPr>
            <w:r/>
            <w:r>
              <w:rPr>
                <w:rFonts w:ascii="Times New Roman" w:hAnsi="Times New Roman"/>
                <w:b w:val="0"/>
                <w:sz w:val="16"/>
              </w:rPr>
              <w:t>Audio checkpoint and MFCC preprocessing exist; final held-out metric report not found.</w:t>
            </w:r>
          </w:p>
        </w:tc>
      </w:tr>
      <w:tr>
        <w:tc>
          <w:tcPr>
            <w:tcW w:type="dxa" w:w="1152"/>
            <w:vAlign w:val="center"/>
            <w:tcMar>
              <w:top w:w="80" w:type="dxa"/>
              <w:start w:w="95" w:type="dxa"/>
              <w:bottom w:w="80" w:type="dxa"/>
              <w:end w:w="95" w:type="dxa"/>
            </w:tcMar>
          </w:tcPr>
          <w:p>
            <w:pPr>
              <w:pStyle w:val="SmallTable"/>
              <w:jc w:val="left"/>
            </w:pPr>
            <w:r/>
            <w:r>
              <w:rPr>
                <w:rFonts w:ascii="Times New Roman" w:hAnsi="Times New Roman"/>
                <w:b w:val="0"/>
                <w:sz w:val="16"/>
              </w:rPr>
              <w:t>Video</w:t>
            </w:r>
          </w:p>
        </w:tc>
        <w:tc>
          <w:tcPr>
            <w:tcW w:type="dxa" w:w="2952"/>
            <w:vAlign w:val="center"/>
            <w:tcMar>
              <w:top w:w="80" w:type="dxa"/>
              <w:start w:w="95" w:type="dxa"/>
              <w:bottom w:w="80" w:type="dxa"/>
              <w:end w:w="95" w:type="dxa"/>
            </w:tcMar>
          </w:tcPr>
          <w:p>
            <w:pPr>
              <w:pStyle w:val="SmallTable"/>
              <w:jc w:val="left"/>
            </w:pPr>
            <w:r/>
            <w:r>
              <w:rPr>
                <w:rFonts w:ascii="Times New Roman" w:hAnsi="Times New Roman"/>
                <w:b w:val="0"/>
                <w:sz w:val="16"/>
              </w:rPr>
              <w:t>FaceForensics++ manipulated and original sequences [4]</w:t>
            </w:r>
          </w:p>
        </w:tc>
        <w:tc>
          <w:tcPr>
            <w:tcW w:type="dxa" w:w="2016"/>
            <w:vAlign w:val="center"/>
            <w:tcMar>
              <w:top w:w="80" w:type="dxa"/>
              <w:start w:w="95" w:type="dxa"/>
              <w:bottom w:w="80" w:type="dxa"/>
              <w:end w:w="95" w:type="dxa"/>
            </w:tcMar>
          </w:tcPr>
          <w:p>
            <w:pPr>
              <w:pStyle w:val="SmallTable"/>
              <w:jc w:val="left"/>
            </w:pPr>
            <w:r/>
            <w:r>
              <w:rPr>
                <w:rFonts w:ascii="Times New Roman" w:hAnsi="Times New Roman"/>
                <w:b w:val="0"/>
                <w:sz w:val="16"/>
              </w:rPr>
              <w:t>Original / manipulated</w:t>
            </w:r>
          </w:p>
        </w:tc>
        <w:tc>
          <w:tcPr>
            <w:tcW w:type="dxa" w:w="2880"/>
            <w:vAlign w:val="center"/>
            <w:tcMar>
              <w:top w:w="80" w:type="dxa"/>
              <w:start w:w="95" w:type="dxa"/>
              <w:bottom w:w="80" w:type="dxa"/>
              <w:end w:w="95" w:type="dxa"/>
            </w:tcMar>
          </w:tcPr>
          <w:p>
            <w:pPr>
              <w:pStyle w:val="SmallTable"/>
              <w:jc w:val="left"/>
            </w:pPr>
            <w:r/>
            <w:r>
              <w:rPr>
                <w:rFonts w:ascii="Times New Roman" w:hAnsi="Times New Roman"/>
                <w:b w:val="0"/>
                <w:sz w:val="16"/>
              </w:rPr>
              <w:t>EfficientNet checkpoint and video inference code exist; held-out metrics and training split manifest not found.</w:t>
            </w:r>
          </w:p>
        </w:tc>
      </w:tr>
      <w:tr>
        <w:tc>
          <w:tcPr>
            <w:tcW w:type="dxa" w:w="1152"/>
            <w:vAlign w:val="center"/>
            <w:tcMar>
              <w:top w:w="80" w:type="dxa"/>
              <w:start w:w="95" w:type="dxa"/>
              <w:bottom w:w="80" w:type="dxa"/>
              <w:end w:w="95" w:type="dxa"/>
            </w:tcMar>
            <w:shd w:fill="F1F5F8"/>
          </w:tcPr>
          <w:p>
            <w:pPr>
              <w:pStyle w:val="SmallTable"/>
              <w:jc w:val="left"/>
            </w:pPr>
            <w:r/>
            <w:r>
              <w:rPr>
                <w:rFonts w:ascii="Times New Roman" w:hAnsi="Times New Roman"/>
                <w:b w:val="0"/>
                <w:sz w:val="16"/>
              </w:rPr>
              <w:t>Fusion</w:t>
            </w:r>
          </w:p>
        </w:tc>
        <w:tc>
          <w:tcPr>
            <w:tcW w:type="dxa" w:w="2952"/>
            <w:vAlign w:val="center"/>
            <w:tcMar>
              <w:top w:w="80" w:type="dxa"/>
              <w:start w:w="95" w:type="dxa"/>
              <w:bottom w:w="80" w:type="dxa"/>
              <w:end w:w="95" w:type="dxa"/>
            </w:tcMar>
            <w:shd w:fill="F1F5F8"/>
          </w:tcPr>
          <w:p>
            <w:pPr>
              <w:pStyle w:val="SmallTable"/>
              <w:jc w:val="left"/>
            </w:pPr>
            <w:r/>
            <w:r>
              <w:rPr>
                <w:rFonts w:ascii="Times New Roman" w:hAnsi="Times New Roman"/>
                <w:b w:val="0"/>
                <w:sz w:val="16"/>
              </w:rPr>
              <w:t>Curated scenario manifest specified in project docs</w:t>
            </w:r>
          </w:p>
        </w:tc>
        <w:tc>
          <w:tcPr>
            <w:tcW w:type="dxa" w:w="2016"/>
            <w:vAlign w:val="center"/>
            <w:tcMar>
              <w:top w:w="80" w:type="dxa"/>
              <w:start w:w="95" w:type="dxa"/>
              <w:bottom w:w="80" w:type="dxa"/>
              <w:end w:w="95" w:type="dxa"/>
            </w:tcMar>
            <w:shd w:fill="F1F5F8"/>
          </w:tcPr>
          <w:p>
            <w:pPr>
              <w:pStyle w:val="SmallTable"/>
              <w:jc w:val="left"/>
            </w:pPr>
            <w:r/>
            <w:r>
              <w:rPr>
                <w:rFonts w:ascii="Times New Roman" w:hAnsi="Times New Roman"/>
                <w:b w:val="0"/>
                <w:sz w:val="16"/>
              </w:rPr>
              <w:t>Scenario-level benign / threat</w:t>
            </w:r>
          </w:p>
        </w:tc>
        <w:tc>
          <w:tcPr>
            <w:tcW w:type="dxa" w:w="2880"/>
            <w:vAlign w:val="center"/>
            <w:tcMar>
              <w:top w:w="80" w:type="dxa"/>
              <w:start w:w="95" w:type="dxa"/>
              <w:bottom w:w="80" w:type="dxa"/>
              <w:end w:w="95" w:type="dxa"/>
            </w:tcMar>
            <w:shd w:fill="F1F5F8"/>
          </w:tcPr>
          <w:p>
            <w:pPr>
              <w:pStyle w:val="SmallTable"/>
              <w:jc w:val="left"/>
            </w:pPr>
            <w:r/>
            <w:r>
              <w:rPr>
                <w:rFonts w:ascii="Times New Roman" w:hAnsi="Times New Roman"/>
                <w:b w:val="0"/>
                <w:sz w:val="16"/>
              </w:rPr>
              <w:t>Benchmark runner exists; no completed metrics, predictions, or run metadata found.</w:t>
            </w:r>
          </w:p>
        </w:tc>
      </w:tr>
    </w:tbl>
    <w:p>
      <w:pPr>
        <w:spacing w:after="0"/>
      </w:pPr>
    </w:p>
    <w:p>
      <w:r>
        <w:rPr>
          <w:i w:val="0"/>
        </w:rPr>
        <w:t>A scenario-level multimodal sample should contain one investigation story with explicitly paired media, sensor-specific labels, an overall scenario label, and a group identifier for the campaign, actor, or source recording. The scenario label must be written independently of model scores. A benign scenario can contain a spoofed modality, and a threat scenario can contain genuine supporting media. The report does not treat independently sourced audio and video examples as if they belonged to the same event.</w:t>
      </w:r>
    </w:p>
    <w:p>
      <w:pPr>
        <w:pStyle w:val="Heading2"/>
      </w:pPr>
      <w:r>
        <w:t>7.3 Data Preparation</w:t>
      </w:r>
    </w:p>
    <w:p>
      <w:r>
        <w:rPr>
          <w:i w:val="0"/>
        </w:rPr>
        <w:t>Email text is tokenized with the local DistilBERT tokenizer, truncation enabled, a maximum length of 256 tokens, and fixed-length padding. Audio is loaded at 16 kHz, transformed to MFCCs, and normalized in shape by zero padding or truncation to 300 frames. Video is sampled from the uploaded clip at fixed frame intervals; MTCNN detections above 0.90 confidence are cropped, resized to 224 by 224, and normalized with ImageNet channel statistics before model inference. These steps are implemented in the backend and associated notebooks [P1, P2].</w:t>
      </w:r>
    </w:p>
    <w:p>
      <w:pPr>
        <w:pStyle w:val="Heading2"/>
      </w:pPr>
      <w:r>
        <w:t>7.4 Evaluation Design</w:t>
      </w:r>
    </w:p>
    <w:p>
      <w:r>
        <w:rPr>
          <w:i w:val="0"/>
        </w:rPr>
        <w:t>The project email notebook uses a stratified 80/20 random split after cleaning. The saved report concerns the resulting 3,508-example test subset. The available record does not include a prediction CSV or a versioned training run that would allow independent reproduction of the exact predictions from the saved checkpoint. For audio and video, the reviewed project snapshot contains no completed held-out evaluation report or split-level prediction record. The existence of dataset files and checkpoints alone is not sufficient to infer test performance.</w:t>
      </w:r>
    </w:p>
    <w:p>
      <w:r>
        <w:rPr>
          <w:i w:val="0"/>
        </w:rPr>
        <w:t>For future multimodal evaluation, the benchmark script requires separate validation and test splits. It selects video calibration and decision thresholds on validation rows only, computes metrics on test rows, records per-scenario predictions and sensor status, and emits run metadata and model hashes. Group identifiers are intended to prevent related source material from crossing the validation/test boundary. Coverage must be reported because each sensor subset may be evaluated on a different subset of cases [P3].</w:t>
      </w:r>
    </w:p>
    <w:p>
      <w:pPr>
        <w:pStyle w:val="Heading2"/>
      </w:pPr>
      <w:r>
        <w:t>7.5 Metrics</w:t>
      </w:r>
    </w:p>
    <w:p>
      <w:r>
        <w:rPr>
          <w:i w:val="0"/>
        </w:rPr>
        <w:t>For a binary threat classifier, true positives (TP) are threat cases classified as threat, true negatives (TN) are benign cases classified as benign, false positives (FP) are benign cases classified as threat, and false negatives (FN) are threat cases classified as benign. The report uses the following definitions:</w:t>
      </w:r>
    </w:p>
    <w:p>
      <w:pPr>
        <w:jc w:val="center"/>
      </w:pPr>
      <w:r>
        <w:rPr>
          <w:rFonts w:ascii="Cambria Math" w:hAnsi="Cambria Math"/>
          <w:b/>
          <w:sz w:val="22"/>
        </w:rPr>
        <w:t>Accuracy = (TP + TN) / (TP + TN + FP + FN)</w:t>
      </w:r>
    </w:p>
    <w:p>
      <w:pPr>
        <w:jc w:val="center"/>
      </w:pPr>
      <w:r>
        <w:rPr>
          <w:rFonts w:ascii="Cambria Math" w:hAnsi="Cambria Math"/>
          <w:b/>
          <w:sz w:val="22"/>
        </w:rPr>
        <w:t>False positive rate (FPR) = FP / (FP + TN)</w:t>
      </w:r>
    </w:p>
    <w:p>
      <w:pPr>
        <w:jc w:val="center"/>
      </w:pPr>
      <w:r>
        <w:rPr>
          <w:rFonts w:ascii="Cambria Math" w:hAnsi="Cambria Math"/>
          <w:b/>
          <w:sz w:val="22"/>
        </w:rPr>
        <w:t>False negative rate (FNR) = FN / (FN + TP)</w:t>
      </w:r>
    </w:p>
    <w:p>
      <w:pPr>
        <w:jc w:val="center"/>
      </w:pPr>
      <w:r>
        <w:rPr>
          <w:rFonts w:ascii="Cambria Math" w:hAnsi="Cambria Math"/>
          <w:b/>
          <w:sz w:val="22"/>
        </w:rPr>
        <w:t>Precision = TP / (TP + FP); Recall = TP / (TP + FN)</w:t>
      </w:r>
    </w:p>
    <w:p>
      <w:r>
        <w:rPr>
          <w:i w:val="0"/>
        </w:rPr>
        <w:t>For model comparison, confidence intervals should accompany point estimates, and test denominators should be reported separately for benign and threat classes. In a small or constructed scenario set, percentages should not be presented with precision that exceeds the sample size.</w:t>
      </w:r>
    </w:p>
    <w:p>
      <w:pPr>
        <w:pStyle w:val="Heading2"/>
      </w:pPr>
      <w:r>
        <w:t>7.6 Tools and Techniques</w:t>
      </w:r>
    </w:p>
    <w:p>
      <w:r>
        <w:rPr>
          <w:i w:val="0"/>
        </w:rPr>
        <w:t>The project uses Python, PyTorch, Hugging Face Transformers, librosa, OpenCV, MTCNN, FastAPI, React, TypeScript, Vite, jsPDF, and Docker Compose. The backend loads models from local project directories and uses an Nginx-served frontend in the containerized configuration. Model inference can operate from local checkpoints after dependencies are installed; the deployment is local and offline-capable, but this wording does not claim a physically air-gapped host.</w:t>
      </w:r>
    </w:p>
    <w:p>
      <w:pPr>
        <w:keepNext/>
        <w:pageBreakBefore/>
        <w:spacing w:after="240"/>
      </w:pPr>
      <w:r>
        <w:rPr>
          <w:rFonts w:ascii="Times New Roman" w:hAnsi="Times New Roman"/>
          <w:b/>
          <w:color w:val="102C43"/>
          <w:sz w:val="30"/>
        </w:rPr>
        <w:t>CHAPTER 8  ANALYSIS AND PROPOSED WORK</w:t>
      </w:r>
    </w:p>
    <w:p>
      <w:pPr>
        <w:pStyle w:val="Heading2"/>
      </w:pPr>
      <w:r>
        <w:t>8.1 Existing Workflow</w:t>
      </w:r>
    </w:p>
    <w:p>
      <w:r>
        <w:rPr>
          <w:i w:val="0"/>
        </w:rPr>
        <w:t>A user supplies one or more evidence types through the analyst interface. The frontend sends email text or media files to FastAPI. Each successful sensor returns a probability-like score and a modality status. The multimodal endpoint passes available scores to the fusion function, classifies the result at a 0.50 boundary, and returns indicators and a summary. The browser can save report metadata in localStorage and construct a client-side PDF. The architecture keeps inference and report generation within the local application workflow.</w:t>
      </w:r>
    </w:p>
    <w:p>
      <w:pPr>
        <w:pStyle w:val="Heading2"/>
      </w:pPr>
      <w:r>
        <w:t>8.2 Proposed System Architecture</w:t>
      </w:r>
    </w:p>
    <w:p>
      <w:r>
        <w:drawing>
          <wp:inline xmlns:a="http://schemas.openxmlformats.org/drawingml/2006/main" xmlns:pic="http://schemas.openxmlformats.org/drawingml/2006/picture">
            <wp:extent cx="5806440" cy="3266122"/>
            <wp:docPr id="1" name="Picture 1"/>
            <wp:cNvGraphicFramePr>
              <a:graphicFrameLocks noChangeAspect="1"/>
            </wp:cNvGraphicFramePr>
            <a:graphic>
              <a:graphicData uri="http://schemas.openxmlformats.org/drawingml/2006/picture">
                <pic:pic>
                  <pic:nvPicPr>
                    <pic:cNvPr id="0" name="synthguard_architecture.png"/>
                    <pic:cNvPicPr/>
                  </pic:nvPicPr>
                  <pic:blipFill>
                    <a:blip r:embed="rId10"/>
                    <a:stretch>
                      <a:fillRect/>
                    </a:stretch>
                  </pic:blipFill>
                  <pic:spPr>
                    <a:xfrm>
                      <a:off x="0" y="0"/>
                      <a:ext cx="5806440" cy="3266122"/>
                    </a:xfrm>
                    <a:prstGeom prst="rect"/>
                  </pic:spPr>
                </pic:pic>
              </a:graphicData>
            </a:graphic>
          </wp:inline>
        </w:drawing>
      </w:r>
    </w:p>
    <w:p>
      <w:pPr>
        <w:spacing w:before="80" w:after="160"/>
        <w:jc w:val="center"/>
      </w:pPr>
      <w:r>
        <w:rPr>
          <w:i/>
          <w:sz w:val="18"/>
        </w:rPr>
        <w:t>Figure 8.1. SynthGuard local analysis and reporting flow.</w:t>
      </w:r>
    </w:p>
    <w:p>
      <w:pPr>
        <w:pStyle w:val="Heading2"/>
      </w:pPr>
      <w:r>
        <w:t>8.3 Sensor Modules</w:t>
      </w:r>
    </w:p>
    <w:tbl>
      <w:tblPr>
        <w:tblW w:type="auto" w:w="0"/>
        <w:jc w:val="center"/>
        <w:tblLayout w:type="fixed"/>
        <w:tblLook w:firstColumn="1" w:firstRow="1" w:lastColumn="0" w:lastRow="0" w:noHBand="0" w:noVBand="1" w:val="04A0"/>
        <w:tblBorders>
          <w:top w:val="single" w:sz="5" w:space="0" w:color="9BAABA"/>
          <w:left w:val="single" w:sz="5" w:space="0" w:color="9BAABA"/>
          <w:bottom w:val="single" w:sz="5" w:space="0" w:color="9BAABA"/>
          <w:right w:val="single" w:sz="5" w:space="0" w:color="9BAABA"/>
          <w:insideH w:val="single" w:sz="5" w:space="0" w:color="9BAABA"/>
          <w:insideV w:val="single" w:sz="5" w:space="0" w:color="9BAABA"/>
        </w:tblBorders>
      </w:tblPr>
      <w:tblGrid>
        <w:gridCol w:w="1080"/>
        <w:gridCol w:w="2232"/>
        <w:gridCol w:w="3744"/>
        <w:gridCol w:w="1944"/>
      </w:tblGrid>
      <w:tr>
        <w:trPr>
          <w:tblHeader w:val="true"/>
        </w:trPr>
        <w:tc>
          <w:tcPr>
            <w:tcW w:type="dxa" w:w="2329"/>
            <w:vAlign w:val="center"/>
            <w:tcMar>
              <w:top w:w="80" w:type="dxa"/>
              <w:start w:w="95" w:type="dxa"/>
              <w:bottom w:w="80" w:type="dxa"/>
              <w:end w:w="95" w:type="dxa"/>
            </w:tcMar>
            <w:shd w:fill="18364F"/>
          </w:tcPr>
          <w:p>
            <w:pPr>
              <w:pStyle w:val="SmallTable"/>
              <w:jc w:val="left"/>
            </w:pPr>
            <w:r/>
            <w:r>
              <w:rPr>
                <w:rFonts w:ascii="Times New Roman" w:hAnsi="Times New Roman"/>
                <w:b/>
                <w:color w:val="FFFFFF"/>
                <w:sz w:val="16"/>
              </w:rPr>
              <w:t>Sensor</w:t>
            </w:r>
          </w:p>
        </w:tc>
        <w:tc>
          <w:tcPr>
            <w:tcW w:type="dxa" w:w="2329"/>
            <w:vAlign w:val="center"/>
            <w:tcMar>
              <w:top w:w="80" w:type="dxa"/>
              <w:start w:w="95" w:type="dxa"/>
              <w:bottom w:w="80" w:type="dxa"/>
              <w:end w:w="95" w:type="dxa"/>
            </w:tcMar>
            <w:shd w:fill="18364F"/>
          </w:tcPr>
          <w:p>
            <w:pPr>
              <w:pStyle w:val="SmallTable"/>
              <w:jc w:val="left"/>
            </w:pPr>
            <w:r/>
            <w:r>
              <w:rPr>
                <w:rFonts w:ascii="Times New Roman" w:hAnsi="Times New Roman"/>
                <w:b/>
                <w:color w:val="FFFFFF"/>
                <w:sz w:val="16"/>
              </w:rPr>
              <w:t>Model path</w:t>
            </w:r>
          </w:p>
        </w:tc>
        <w:tc>
          <w:tcPr>
            <w:tcW w:type="dxa" w:w="2329"/>
            <w:vAlign w:val="center"/>
            <w:tcMar>
              <w:top w:w="80" w:type="dxa"/>
              <w:start w:w="95" w:type="dxa"/>
              <w:bottom w:w="80" w:type="dxa"/>
              <w:end w:w="95" w:type="dxa"/>
            </w:tcMar>
            <w:shd w:fill="18364F"/>
          </w:tcPr>
          <w:p>
            <w:pPr>
              <w:pStyle w:val="SmallTable"/>
              <w:jc w:val="left"/>
            </w:pPr>
            <w:r/>
            <w:r>
              <w:rPr>
                <w:rFonts w:ascii="Times New Roman" w:hAnsi="Times New Roman"/>
                <w:b/>
                <w:color w:val="FFFFFF"/>
                <w:sz w:val="16"/>
              </w:rPr>
              <w:t>Input and processing</w:t>
            </w:r>
          </w:p>
        </w:tc>
        <w:tc>
          <w:tcPr>
            <w:tcW w:type="dxa" w:w="2329"/>
            <w:vAlign w:val="center"/>
            <w:tcMar>
              <w:top w:w="80" w:type="dxa"/>
              <w:start w:w="95" w:type="dxa"/>
              <w:bottom w:w="80" w:type="dxa"/>
              <w:end w:w="95" w:type="dxa"/>
            </w:tcMar>
            <w:shd w:fill="18364F"/>
          </w:tcPr>
          <w:p>
            <w:pPr>
              <w:pStyle w:val="SmallTable"/>
              <w:jc w:val="left"/>
            </w:pPr>
            <w:r/>
            <w:r>
              <w:rPr>
                <w:rFonts w:ascii="Times New Roman" w:hAnsi="Times New Roman"/>
                <w:b/>
                <w:color w:val="FFFFFF"/>
                <w:sz w:val="16"/>
              </w:rPr>
              <w:t>Output</w:t>
            </w:r>
          </w:p>
        </w:tc>
      </w:tr>
      <w:tr>
        <w:tc>
          <w:tcPr>
            <w:tcW w:type="dxa" w:w="1080"/>
            <w:vAlign w:val="center"/>
            <w:tcMar>
              <w:top w:w="80" w:type="dxa"/>
              <w:start w:w="95" w:type="dxa"/>
              <w:bottom w:w="80" w:type="dxa"/>
              <w:end w:w="95" w:type="dxa"/>
            </w:tcMar>
          </w:tcPr>
          <w:p>
            <w:pPr>
              <w:pStyle w:val="SmallTable"/>
              <w:jc w:val="left"/>
            </w:pPr>
            <w:r/>
            <w:r>
              <w:rPr>
                <w:rFonts w:ascii="Times New Roman" w:hAnsi="Times New Roman"/>
                <w:b w:val="0"/>
                <w:sz w:val="16"/>
              </w:rPr>
              <w:t>Email</w:t>
            </w:r>
          </w:p>
        </w:tc>
        <w:tc>
          <w:tcPr>
            <w:tcW w:type="dxa" w:w="2232"/>
            <w:vAlign w:val="center"/>
            <w:tcMar>
              <w:top w:w="80" w:type="dxa"/>
              <w:start w:w="95" w:type="dxa"/>
              <w:bottom w:w="80" w:type="dxa"/>
              <w:end w:w="95" w:type="dxa"/>
            </w:tcMar>
          </w:tcPr>
          <w:p>
            <w:pPr>
              <w:pStyle w:val="SmallTable"/>
              <w:jc w:val="left"/>
            </w:pPr>
            <w:r/>
            <w:r>
              <w:rPr>
                <w:rFonts w:ascii="Times New Roman" w:hAnsi="Times New Roman"/>
                <w:b w:val="0"/>
                <w:sz w:val="16"/>
              </w:rPr>
              <w:t>Fine-tuned DistilBERT sequence classifier</w:t>
            </w:r>
          </w:p>
        </w:tc>
        <w:tc>
          <w:tcPr>
            <w:tcW w:type="dxa" w:w="3744"/>
            <w:vAlign w:val="center"/>
            <w:tcMar>
              <w:top w:w="80" w:type="dxa"/>
              <w:start w:w="95" w:type="dxa"/>
              <w:bottom w:w="80" w:type="dxa"/>
              <w:end w:w="95" w:type="dxa"/>
            </w:tcMar>
          </w:tcPr>
          <w:p>
            <w:pPr>
              <w:pStyle w:val="SmallTable"/>
              <w:jc w:val="left"/>
            </w:pPr>
            <w:r/>
            <w:r>
              <w:rPr>
                <w:rFonts w:ascii="Times New Roman" w:hAnsi="Times New Roman"/>
                <w:b w:val="0"/>
                <w:sz w:val="16"/>
              </w:rPr>
              <w:t>Text tokenization; max length 256</w:t>
            </w:r>
          </w:p>
        </w:tc>
        <w:tc>
          <w:tcPr>
            <w:tcW w:type="dxa" w:w="1944"/>
            <w:vAlign w:val="center"/>
            <w:tcMar>
              <w:top w:w="80" w:type="dxa"/>
              <w:start w:w="95" w:type="dxa"/>
              <w:bottom w:w="80" w:type="dxa"/>
              <w:end w:w="95" w:type="dxa"/>
            </w:tcMar>
          </w:tcPr>
          <w:p>
            <w:pPr>
              <w:pStyle w:val="SmallTable"/>
              <w:jc w:val="left"/>
            </w:pPr>
            <w:r/>
            <w:r>
              <w:rPr>
                <w:rFonts w:ascii="Times New Roman" w:hAnsi="Times New Roman"/>
                <w:b w:val="0"/>
                <w:sz w:val="16"/>
              </w:rPr>
              <w:t>Phishing probability; indicator threshold 0.50</w:t>
            </w:r>
          </w:p>
        </w:tc>
      </w:tr>
      <w:tr>
        <w:tc>
          <w:tcPr>
            <w:tcW w:type="dxa" w:w="1080"/>
            <w:vAlign w:val="center"/>
            <w:tcMar>
              <w:top w:w="80" w:type="dxa"/>
              <w:start w:w="95" w:type="dxa"/>
              <w:bottom w:w="80" w:type="dxa"/>
              <w:end w:w="95" w:type="dxa"/>
            </w:tcMar>
            <w:shd w:fill="F1F5F8"/>
          </w:tcPr>
          <w:p>
            <w:pPr>
              <w:pStyle w:val="SmallTable"/>
              <w:jc w:val="left"/>
            </w:pPr>
            <w:r/>
            <w:r>
              <w:rPr>
                <w:rFonts w:ascii="Times New Roman" w:hAnsi="Times New Roman"/>
                <w:b w:val="0"/>
                <w:sz w:val="16"/>
              </w:rPr>
              <w:t>Audio</w:t>
            </w:r>
          </w:p>
        </w:tc>
        <w:tc>
          <w:tcPr>
            <w:tcW w:type="dxa" w:w="2232"/>
            <w:vAlign w:val="center"/>
            <w:tcMar>
              <w:top w:w="80" w:type="dxa"/>
              <w:start w:w="95" w:type="dxa"/>
              <w:bottom w:w="80" w:type="dxa"/>
              <w:end w:w="95" w:type="dxa"/>
            </w:tcMar>
            <w:shd w:fill="F1F5F8"/>
          </w:tcPr>
          <w:p>
            <w:pPr>
              <w:pStyle w:val="SmallTable"/>
              <w:jc w:val="left"/>
            </w:pPr>
            <w:r/>
            <w:r>
              <w:rPr>
                <w:rFonts w:ascii="Times New Roman" w:hAnsi="Times New Roman"/>
                <w:b w:val="0"/>
                <w:sz w:val="16"/>
              </w:rPr>
              <w:t>Three-block CNN over MFCCs</w:t>
            </w:r>
          </w:p>
        </w:tc>
        <w:tc>
          <w:tcPr>
            <w:tcW w:type="dxa" w:w="3744"/>
            <w:vAlign w:val="center"/>
            <w:tcMar>
              <w:top w:w="80" w:type="dxa"/>
              <w:start w:w="95" w:type="dxa"/>
              <w:bottom w:w="80" w:type="dxa"/>
              <w:end w:w="95" w:type="dxa"/>
            </w:tcMar>
            <w:shd w:fill="F1F5F8"/>
          </w:tcPr>
          <w:p>
            <w:pPr>
              <w:pStyle w:val="SmallTable"/>
              <w:jc w:val="left"/>
            </w:pPr>
            <w:r/>
            <w:r>
              <w:rPr>
                <w:rFonts w:ascii="Times New Roman" w:hAnsi="Times New Roman"/>
                <w:b w:val="0"/>
                <w:sz w:val="16"/>
              </w:rPr>
              <w:t>16 kHz audio; 40 coefficients; 300 frames</w:t>
            </w:r>
          </w:p>
        </w:tc>
        <w:tc>
          <w:tcPr>
            <w:tcW w:type="dxa" w:w="1944"/>
            <w:vAlign w:val="center"/>
            <w:tcMar>
              <w:top w:w="80" w:type="dxa"/>
              <w:start w:w="95" w:type="dxa"/>
              <w:bottom w:w="80" w:type="dxa"/>
              <w:end w:w="95" w:type="dxa"/>
            </w:tcMar>
            <w:shd w:fill="F1F5F8"/>
          </w:tcPr>
          <w:p>
            <w:pPr>
              <w:pStyle w:val="SmallTable"/>
              <w:jc w:val="left"/>
            </w:pPr>
            <w:r/>
            <w:r>
              <w:rPr>
                <w:rFonts w:ascii="Times New Roman" w:hAnsi="Times New Roman"/>
                <w:b w:val="0"/>
                <w:sz w:val="16"/>
              </w:rPr>
              <w:t>Spoof probability; indicator threshold 0.45</w:t>
            </w:r>
          </w:p>
        </w:tc>
      </w:tr>
      <w:tr>
        <w:tc>
          <w:tcPr>
            <w:tcW w:type="dxa" w:w="1080"/>
            <w:vAlign w:val="center"/>
            <w:tcMar>
              <w:top w:w="80" w:type="dxa"/>
              <w:start w:w="95" w:type="dxa"/>
              <w:bottom w:w="80" w:type="dxa"/>
              <w:end w:w="95" w:type="dxa"/>
            </w:tcMar>
          </w:tcPr>
          <w:p>
            <w:pPr>
              <w:pStyle w:val="SmallTable"/>
              <w:jc w:val="left"/>
            </w:pPr>
            <w:r/>
            <w:r>
              <w:rPr>
                <w:rFonts w:ascii="Times New Roman" w:hAnsi="Times New Roman"/>
                <w:b w:val="0"/>
                <w:sz w:val="16"/>
              </w:rPr>
              <w:t>Video</w:t>
            </w:r>
          </w:p>
        </w:tc>
        <w:tc>
          <w:tcPr>
            <w:tcW w:type="dxa" w:w="2232"/>
            <w:vAlign w:val="center"/>
            <w:tcMar>
              <w:top w:w="80" w:type="dxa"/>
              <w:start w:w="95" w:type="dxa"/>
              <w:bottom w:w="80" w:type="dxa"/>
              <w:end w:w="95" w:type="dxa"/>
            </w:tcMar>
          </w:tcPr>
          <w:p>
            <w:pPr>
              <w:pStyle w:val="SmallTable"/>
              <w:jc w:val="left"/>
            </w:pPr>
            <w:r/>
            <w:r>
              <w:rPr>
                <w:rFonts w:ascii="Times New Roman" w:hAnsi="Times New Roman"/>
                <w:b w:val="0"/>
                <w:sz w:val="16"/>
              </w:rPr>
              <w:t>MTCNN face detector + EfficientNet-B0</w:t>
            </w:r>
          </w:p>
        </w:tc>
        <w:tc>
          <w:tcPr>
            <w:tcW w:type="dxa" w:w="3744"/>
            <w:vAlign w:val="center"/>
            <w:tcMar>
              <w:top w:w="80" w:type="dxa"/>
              <w:start w:w="95" w:type="dxa"/>
              <w:bottom w:w="80" w:type="dxa"/>
              <w:end w:w="95" w:type="dxa"/>
            </w:tcMar>
          </w:tcPr>
          <w:p>
            <w:pPr>
              <w:pStyle w:val="SmallTable"/>
              <w:jc w:val="left"/>
            </w:pPr>
            <w:r/>
            <w:r>
              <w:rPr>
                <w:rFonts w:ascii="Times New Roman" w:hAnsi="Times New Roman"/>
                <w:b w:val="0"/>
                <w:sz w:val="16"/>
              </w:rPr>
              <w:t>Sample frames; crop face; resize to 224×224; average up to five scores</w:t>
            </w:r>
          </w:p>
        </w:tc>
        <w:tc>
          <w:tcPr>
            <w:tcW w:type="dxa" w:w="1944"/>
            <w:vAlign w:val="center"/>
            <w:tcMar>
              <w:top w:w="80" w:type="dxa"/>
              <w:start w:w="95" w:type="dxa"/>
              <w:bottom w:w="80" w:type="dxa"/>
              <w:end w:w="95" w:type="dxa"/>
            </w:tcMar>
          </w:tcPr>
          <w:p>
            <w:pPr>
              <w:pStyle w:val="SmallTable"/>
              <w:jc w:val="left"/>
            </w:pPr>
            <w:r/>
            <w:r>
              <w:rPr>
                <w:rFonts w:ascii="Times New Roman" w:hAnsi="Times New Roman"/>
                <w:b w:val="0"/>
                <w:sz w:val="16"/>
              </w:rPr>
              <w:t>Calibrated manipulation probability; decision boundary 0.50</w:t>
            </w:r>
          </w:p>
        </w:tc>
      </w:tr>
    </w:tbl>
    <w:p>
      <w:pPr>
        <w:spacing w:after="0"/>
      </w:pPr>
    </w:p>
    <w:p>
      <w:pPr>
        <w:pStyle w:val="Heading2"/>
      </w:pPr>
      <w:r>
        <w:t>8.4 Fusion Rule</w:t>
      </w:r>
    </w:p>
    <w:p>
      <w:r>
        <w:rPr>
          <w:i w:val="0"/>
        </w:rPr>
        <w:t>Let E, A, and V denote the email, audio, and video scores that were successfully computed. The implementation assigns nominal weights of 0.3333 to each available sensor and renormalizes by the sum of the available weights. If no modality is available, fusion returns no score. The fused score is classified as a threat when it is at least 0.50.</w:t>
      </w:r>
    </w:p>
    <w:p>
      <w:pPr>
        <w:jc w:val="center"/>
      </w:pPr>
      <w:r>
        <w:rPr>
          <w:b/>
          <w:sz w:val="20"/>
        </w:rPr>
        <w:t>S_fusion = Σ(w_i S_i) / Σ(w_i), for available sensors i, unless the biometric veto fires</w:t>
      </w:r>
    </w:p>
    <w:p>
      <w:r>
        <w:rPr>
          <w:i w:val="0"/>
        </w:rPr>
        <w:t>The veto fires when an available audio or video score is at least 0.85. The implementation then returns the highest available sensor score. Therefore, it raises the unified score to the strongest sensor value; it produces exactly 1.00 only when that strongest input is itself 1.00. The veto threshold is a software rule, not a demonstrated false-negative reduction until it is evaluated on independent labeled data [P2].</w:t>
      </w:r>
    </w:p>
    <w:p>
      <w:pPr>
        <w:pStyle w:val="Heading2"/>
      </w:pPr>
      <w:r>
        <w:t>8.5 Analytical Fusion Examples</w:t>
      </w:r>
    </w:p>
    <w:tbl>
      <w:tblPr>
        <w:tblW w:type="auto" w:w="0"/>
        <w:jc w:val="center"/>
        <w:tblLayout w:type="fixed"/>
        <w:tblLook w:firstColumn="1" w:firstRow="1" w:lastColumn="0" w:lastRow="0" w:noHBand="0" w:noVBand="1" w:val="04A0"/>
        <w:tblBorders>
          <w:top w:val="single" w:sz="5" w:space="0" w:color="9BAABA"/>
          <w:left w:val="single" w:sz="5" w:space="0" w:color="9BAABA"/>
          <w:bottom w:val="single" w:sz="5" w:space="0" w:color="9BAABA"/>
          <w:right w:val="single" w:sz="5" w:space="0" w:color="9BAABA"/>
          <w:insideH w:val="single" w:sz="5" w:space="0" w:color="9BAABA"/>
          <w:insideV w:val="single" w:sz="5" w:space="0" w:color="9BAABA"/>
        </w:tblBorders>
      </w:tblPr>
      <w:tblGrid>
        <w:gridCol w:w="2376"/>
        <w:gridCol w:w="2952"/>
        <w:gridCol w:w="1656"/>
        <w:gridCol w:w="2016"/>
      </w:tblGrid>
      <w:tr>
        <w:trPr>
          <w:tblHeader w:val="true"/>
        </w:trPr>
        <w:tc>
          <w:tcPr>
            <w:tcW w:type="dxa" w:w="2329"/>
            <w:vAlign w:val="center"/>
            <w:tcMar>
              <w:top w:w="80" w:type="dxa"/>
              <w:start w:w="95" w:type="dxa"/>
              <w:bottom w:w="80" w:type="dxa"/>
              <w:end w:w="95" w:type="dxa"/>
            </w:tcMar>
            <w:shd w:fill="18364F"/>
          </w:tcPr>
          <w:p>
            <w:pPr>
              <w:pStyle w:val="SmallTable"/>
              <w:jc w:val="left"/>
            </w:pPr>
            <w:r/>
            <w:r>
              <w:rPr>
                <w:rFonts w:ascii="Times New Roman" w:hAnsi="Times New Roman"/>
                <w:b/>
                <w:color w:val="FFFFFF"/>
                <w:sz w:val="16"/>
              </w:rPr>
              <w:t>Illustrative inputs</w:t>
            </w:r>
          </w:p>
        </w:tc>
        <w:tc>
          <w:tcPr>
            <w:tcW w:type="dxa" w:w="2329"/>
            <w:vAlign w:val="center"/>
            <w:tcMar>
              <w:top w:w="80" w:type="dxa"/>
              <w:start w:w="95" w:type="dxa"/>
              <w:bottom w:w="80" w:type="dxa"/>
              <w:end w:w="95" w:type="dxa"/>
            </w:tcMar>
            <w:shd w:fill="18364F"/>
          </w:tcPr>
          <w:p>
            <w:pPr>
              <w:pStyle w:val="SmallTable"/>
              <w:jc w:val="left"/>
            </w:pPr>
            <w:r/>
            <w:r>
              <w:rPr>
                <w:rFonts w:ascii="Times New Roman" w:hAnsi="Times New Roman"/>
                <w:b/>
                <w:color w:val="FFFFFF"/>
                <w:sz w:val="16"/>
              </w:rPr>
              <w:t>Implemented rule</w:t>
            </w:r>
          </w:p>
        </w:tc>
        <w:tc>
          <w:tcPr>
            <w:tcW w:type="dxa" w:w="2329"/>
            <w:vAlign w:val="center"/>
            <w:tcMar>
              <w:top w:w="80" w:type="dxa"/>
              <w:start w:w="95" w:type="dxa"/>
              <w:bottom w:w="80" w:type="dxa"/>
              <w:end w:w="95" w:type="dxa"/>
            </w:tcMar>
            <w:shd w:fill="18364F"/>
          </w:tcPr>
          <w:p>
            <w:pPr>
              <w:pStyle w:val="SmallTable"/>
              <w:jc w:val="left"/>
            </w:pPr>
            <w:r/>
            <w:r>
              <w:rPr>
                <w:rFonts w:ascii="Times New Roman" w:hAnsi="Times New Roman"/>
                <w:b/>
                <w:color w:val="FFFFFF"/>
                <w:sz w:val="16"/>
              </w:rPr>
              <w:t>Illustrative output</w:t>
            </w:r>
          </w:p>
        </w:tc>
        <w:tc>
          <w:tcPr>
            <w:tcW w:type="dxa" w:w="2329"/>
            <w:vAlign w:val="center"/>
            <w:tcMar>
              <w:top w:w="80" w:type="dxa"/>
              <w:start w:w="95" w:type="dxa"/>
              <w:bottom w:w="80" w:type="dxa"/>
              <w:end w:w="95" w:type="dxa"/>
            </w:tcMar>
            <w:shd w:fill="18364F"/>
          </w:tcPr>
          <w:p>
            <w:pPr>
              <w:pStyle w:val="SmallTable"/>
              <w:jc w:val="left"/>
            </w:pPr>
            <w:r/>
            <w:r>
              <w:rPr>
                <w:rFonts w:ascii="Times New Roman" w:hAnsi="Times New Roman"/>
                <w:b/>
                <w:color w:val="FFFFFF"/>
                <w:sz w:val="16"/>
              </w:rPr>
              <w:t>Interpretation</w:t>
            </w:r>
          </w:p>
        </w:tc>
      </w:tr>
      <w:tr>
        <w:tc>
          <w:tcPr>
            <w:tcW w:type="dxa" w:w="2376"/>
            <w:vAlign w:val="center"/>
            <w:tcMar>
              <w:top w:w="80" w:type="dxa"/>
              <w:start w:w="95" w:type="dxa"/>
              <w:bottom w:w="80" w:type="dxa"/>
              <w:end w:w="95" w:type="dxa"/>
            </w:tcMar>
          </w:tcPr>
          <w:p>
            <w:pPr>
              <w:pStyle w:val="SmallTable"/>
              <w:jc w:val="left"/>
            </w:pPr>
            <w:r/>
            <w:r>
              <w:rPr>
                <w:rFonts w:ascii="Times New Roman" w:hAnsi="Times New Roman"/>
                <w:b w:val="0"/>
                <w:sz w:val="16"/>
              </w:rPr>
              <w:t>Email 0.998; audio 0.004; video 0.416</w:t>
            </w:r>
          </w:p>
        </w:tc>
        <w:tc>
          <w:tcPr>
            <w:tcW w:type="dxa" w:w="2952"/>
            <w:vAlign w:val="center"/>
            <w:tcMar>
              <w:top w:w="80" w:type="dxa"/>
              <w:start w:w="95" w:type="dxa"/>
              <w:bottom w:w="80" w:type="dxa"/>
              <w:end w:w="95" w:type="dxa"/>
            </w:tcMar>
          </w:tcPr>
          <w:p>
            <w:pPr>
              <w:pStyle w:val="SmallTable"/>
              <w:jc w:val="left"/>
            </w:pPr>
            <w:r/>
            <w:r>
              <w:rPr>
                <w:rFonts w:ascii="Times New Roman" w:hAnsi="Times New Roman"/>
                <w:b w:val="0"/>
                <w:sz w:val="16"/>
              </w:rPr>
              <w:t>No biometric score reaches 0.85; equal mean</w:t>
            </w:r>
          </w:p>
        </w:tc>
        <w:tc>
          <w:tcPr>
            <w:tcW w:type="dxa" w:w="1656"/>
            <w:vAlign w:val="center"/>
            <w:tcMar>
              <w:top w:w="80" w:type="dxa"/>
              <w:start w:w="95" w:type="dxa"/>
              <w:bottom w:w="80" w:type="dxa"/>
              <w:end w:w="95" w:type="dxa"/>
            </w:tcMar>
          </w:tcPr>
          <w:p>
            <w:pPr>
              <w:pStyle w:val="SmallTable"/>
              <w:jc w:val="left"/>
            </w:pPr>
            <w:r/>
            <w:r>
              <w:rPr>
                <w:rFonts w:ascii="Times New Roman" w:hAnsi="Times New Roman"/>
                <w:b w:val="0"/>
                <w:sz w:val="16"/>
              </w:rPr>
              <w:t>0.4727 (47.27%)</w:t>
            </w:r>
          </w:p>
        </w:tc>
        <w:tc>
          <w:tcPr>
            <w:tcW w:type="dxa" w:w="2016"/>
            <w:vAlign w:val="center"/>
            <w:tcMar>
              <w:top w:w="80" w:type="dxa"/>
              <w:start w:w="95" w:type="dxa"/>
              <w:bottom w:w="80" w:type="dxa"/>
              <w:end w:w="95" w:type="dxa"/>
            </w:tcMar>
          </w:tcPr>
          <w:p>
            <w:pPr>
              <w:pStyle w:val="SmallTable"/>
              <w:jc w:val="left"/>
            </w:pPr>
            <w:r/>
            <w:r>
              <w:rPr>
                <w:rFonts w:ascii="Times New Roman" w:hAnsi="Times New Roman"/>
                <w:b w:val="0"/>
                <w:sz w:val="16"/>
              </w:rPr>
              <w:t>Below the 0.50 decision boundary; arithmetic illustration only.</w:t>
            </w:r>
          </w:p>
        </w:tc>
      </w:tr>
      <w:tr>
        <w:tc>
          <w:tcPr>
            <w:tcW w:type="dxa" w:w="2376"/>
            <w:vAlign w:val="center"/>
            <w:tcMar>
              <w:top w:w="80" w:type="dxa"/>
              <w:start w:w="95" w:type="dxa"/>
              <w:bottom w:w="80" w:type="dxa"/>
              <w:end w:w="95" w:type="dxa"/>
            </w:tcMar>
            <w:shd w:fill="F1F5F8"/>
          </w:tcPr>
          <w:p>
            <w:pPr>
              <w:pStyle w:val="SmallTable"/>
              <w:jc w:val="left"/>
            </w:pPr>
            <w:r/>
            <w:r>
              <w:rPr>
                <w:rFonts w:ascii="Times New Roman" w:hAnsi="Times New Roman"/>
                <w:b w:val="0"/>
                <w:sz w:val="16"/>
              </w:rPr>
              <w:t>Email 0.0001; audio 1.000; video absent</w:t>
            </w:r>
          </w:p>
        </w:tc>
        <w:tc>
          <w:tcPr>
            <w:tcW w:type="dxa" w:w="2952"/>
            <w:vAlign w:val="center"/>
            <w:tcMar>
              <w:top w:w="80" w:type="dxa"/>
              <w:start w:w="95" w:type="dxa"/>
              <w:bottom w:w="80" w:type="dxa"/>
              <w:end w:w="95" w:type="dxa"/>
            </w:tcMar>
            <w:shd w:fill="F1F5F8"/>
          </w:tcPr>
          <w:p>
            <w:pPr>
              <w:pStyle w:val="SmallTable"/>
              <w:jc w:val="left"/>
            </w:pPr>
            <w:r/>
            <w:r>
              <w:rPr>
                <w:rFonts w:ascii="Times New Roman" w:hAnsi="Times New Roman"/>
                <w:b w:val="0"/>
                <w:sz w:val="16"/>
              </w:rPr>
              <w:t>Audio veto fires; return max available score</w:t>
            </w:r>
          </w:p>
        </w:tc>
        <w:tc>
          <w:tcPr>
            <w:tcW w:type="dxa" w:w="1656"/>
            <w:vAlign w:val="center"/>
            <w:tcMar>
              <w:top w:w="80" w:type="dxa"/>
              <w:start w:w="95" w:type="dxa"/>
              <w:bottom w:w="80" w:type="dxa"/>
              <w:end w:w="95" w:type="dxa"/>
            </w:tcMar>
            <w:shd w:fill="F1F5F8"/>
          </w:tcPr>
          <w:p>
            <w:pPr>
              <w:pStyle w:val="SmallTable"/>
              <w:jc w:val="left"/>
            </w:pPr>
            <w:r/>
            <w:r>
              <w:rPr>
                <w:rFonts w:ascii="Times New Roman" w:hAnsi="Times New Roman"/>
                <w:b w:val="0"/>
                <w:sz w:val="16"/>
              </w:rPr>
              <w:t>1.0000 (100%)</w:t>
            </w:r>
          </w:p>
        </w:tc>
        <w:tc>
          <w:tcPr>
            <w:tcW w:type="dxa" w:w="2016"/>
            <w:vAlign w:val="center"/>
            <w:tcMar>
              <w:top w:w="80" w:type="dxa"/>
              <w:start w:w="95" w:type="dxa"/>
              <w:bottom w:w="80" w:type="dxa"/>
              <w:end w:w="95" w:type="dxa"/>
            </w:tcMar>
            <w:shd w:fill="F1F5F8"/>
          </w:tcPr>
          <w:p>
            <w:pPr>
              <w:pStyle w:val="SmallTable"/>
              <w:jc w:val="left"/>
            </w:pPr>
            <w:r/>
            <w:r>
              <w:rPr>
                <w:rFonts w:ascii="Times New Roman" w:hAnsi="Times New Roman"/>
                <w:b w:val="0"/>
                <w:sz w:val="16"/>
              </w:rPr>
              <w:t>Threat under the configured boundary; rule illustration only.</w:t>
            </w:r>
          </w:p>
        </w:tc>
      </w:tr>
    </w:tbl>
    <w:p>
      <w:pPr>
        <w:spacing w:after="0"/>
      </w:pPr>
    </w:p>
    <w:p>
      <w:r>
        <w:rPr>
          <w:i w:val="0"/>
        </w:rPr>
        <w:t>These calculations are derived from the current fusion function. They are not measured detector outputs or a benchmark result, and must not be described as experimental cases unless the corresponding inputs are linked to actual labeled test records.</w:t>
      </w:r>
    </w:p>
    <w:p>
      <w:pPr>
        <w:pStyle w:val="Heading2"/>
      </w:pPr>
      <w:r>
        <w:t>8.6 Workflow Algorithm</w:t>
      </w:r>
    </w:p>
    <w:p>
      <w:pPr>
        <w:spacing w:after="60"/>
        <w:ind w:left="432" w:hanging="216"/>
      </w:pPr>
      <w:r>
        <w:t>1. Receive text, audio, video, or any supported combination.</w:t>
      </w:r>
    </w:p>
    <w:p>
      <w:pPr>
        <w:spacing w:after="60"/>
        <w:ind w:left="432" w:hanging="216"/>
      </w:pPr>
      <w:r>
        <w:t>2. Validate request size, file type, and supported evidence.</w:t>
      </w:r>
    </w:p>
    <w:p>
      <w:pPr>
        <w:spacing w:after="60"/>
        <w:ind w:left="432" w:hanging="216"/>
      </w:pPr>
      <w:r>
        <w:t>3. Run each available local sensor and record processed, failed, unavailable, or omitted status.</w:t>
      </w:r>
    </w:p>
    <w:p>
      <w:pPr>
        <w:spacing w:after="60"/>
        <w:ind w:left="432" w:hanging="216"/>
      </w:pPr>
      <w:r>
        <w:t>4. Calibrate the video probability using the loaded threshold when a face score is available.</w:t>
      </w:r>
    </w:p>
    <w:p>
      <w:pPr>
        <w:spacing w:after="60"/>
        <w:ind w:left="432" w:hanging="216"/>
      </w:pPr>
      <w:r>
        <w:t>5. Apply the audio/video veto or normalized equal-weight score to the successful sensor outputs.</w:t>
      </w:r>
    </w:p>
    <w:p>
      <w:pPr>
        <w:spacing w:after="60"/>
        <w:ind w:left="432" w:hanging="216"/>
      </w:pPr>
      <w:r>
        <w:t>6. Compare the unified score with the 0.50 threat boundary and return the score, label, indicators, and sensor status.</w:t>
      </w:r>
    </w:p>
    <w:p>
      <w:pPr>
        <w:spacing w:after="60"/>
        <w:ind w:left="432" w:hanging="216"/>
      </w:pPr>
      <w:r>
        <w:t>7. Save lightweight report metadata in the browser when a scan succeeds; generate a PDF locally when requested.</w:t>
      </w:r>
    </w:p>
    <w:p>
      <w:pPr>
        <w:pStyle w:val="Heading2"/>
      </w:pPr>
      <w:r>
        <w:t>8.7 Design Considerations</w:t>
      </w:r>
    </w:p>
    <w:p>
      <w:r>
        <w:rPr>
          <w:i w:val="0"/>
        </w:rPr>
        <w:t>The system is a decision-support prototype. Model confidence values are not automatically calibrated probabilities of real-world harm. Partial-input fusion changes the denominator and therefore the meaning of the aggregate score. A false or unavailable sensor can alter coverage. The UI should expose the sensor statuses and score provenance, and the report should preserve per-sensor scores rather than presenting only the final decision.</w:t>
      </w:r>
    </w:p>
    <w:p>
      <w:pPr>
        <w:keepNext/>
        <w:pageBreakBefore/>
        <w:spacing w:after="240"/>
      </w:pPr>
      <w:r>
        <w:rPr>
          <w:rFonts w:ascii="Times New Roman" w:hAnsi="Times New Roman"/>
          <w:b/>
          <w:color w:val="102C43"/>
          <w:sz w:val="30"/>
        </w:rPr>
        <w:t>CHAPTER 9  IMPLEMENTATION AND DEVELOPMENT</w:t>
      </w:r>
    </w:p>
    <w:p>
      <w:pPr>
        <w:pStyle w:val="Heading2"/>
      </w:pPr>
      <w:r>
        <w:t>9.1 System Components</w:t>
      </w:r>
    </w:p>
    <w:p>
      <w:r>
        <w:rPr>
          <w:i w:val="0"/>
        </w:rPr>
        <w:t>The project contains a React and TypeScript frontend, a FastAPI backend, local PyTorch checkpoints, and a Docker Compose configuration for a two-container deployment. The frontend uses a relative API path. During development, Vite proxies requests to the backend; in the container deployment, Nginx forwards API traffic to the backend service over the Compose network [P4].</w:t>
      </w:r>
    </w:p>
    <w:p>
      <w:pPr>
        <w:pStyle w:val="Heading2"/>
      </w:pPr>
      <w:r>
        <w:t>9.2 Backend API</w:t>
      </w:r>
    </w:p>
    <w:tbl>
      <w:tblPr>
        <w:tblW w:type="auto" w:w="0"/>
        <w:jc w:val="center"/>
        <w:tblLayout w:type="fixed"/>
        <w:tblLook w:firstColumn="1" w:firstRow="1" w:lastColumn="0" w:lastRow="0" w:noHBand="0" w:noVBand="1" w:val="04A0"/>
        <w:tblBorders>
          <w:top w:val="single" w:sz="5" w:space="0" w:color="9BAABA"/>
          <w:left w:val="single" w:sz="5" w:space="0" w:color="9BAABA"/>
          <w:bottom w:val="single" w:sz="5" w:space="0" w:color="9BAABA"/>
          <w:right w:val="single" w:sz="5" w:space="0" w:color="9BAABA"/>
          <w:insideH w:val="single" w:sz="5" w:space="0" w:color="9BAABA"/>
          <w:insideV w:val="single" w:sz="5" w:space="0" w:color="9BAABA"/>
        </w:tblBorders>
      </w:tblPr>
      <w:tblGrid>
        <w:gridCol w:w="3312"/>
        <w:gridCol w:w="1152"/>
        <w:gridCol w:w="4464"/>
      </w:tblGrid>
      <w:tr>
        <w:trPr>
          <w:tblHeader w:val="true"/>
        </w:trPr>
        <w:tc>
          <w:tcPr>
            <w:tcW w:type="dxa" w:w="3106"/>
            <w:vAlign w:val="center"/>
            <w:tcMar>
              <w:top w:w="80" w:type="dxa"/>
              <w:start w:w="95" w:type="dxa"/>
              <w:bottom w:w="80" w:type="dxa"/>
              <w:end w:w="95" w:type="dxa"/>
            </w:tcMar>
            <w:shd w:fill="18364F"/>
          </w:tcPr>
          <w:p>
            <w:pPr>
              <w:pStyle w:val="SmallTable"/>
              <w:jc w:val="left"/>
            </w:pPr>
            <w:r/>
            <w:r>
              <w:rPr>
                <w:rFonts w:ascii="Times New Roman" w:hAnsi="Times New Roman"/>
                <w:b/>
                <w:color w:val="FFFFFF"/>
                <w:sz w:val="16"/>
              </w:rPr>
              <w:t>Endpoint</w:t>
            </w:r>
          </w:p>
        </w:tc>
        <w:tc>
          <w:tcPr>
            <w:tcW w:type="dxa" w:w="3106"/>
            <w:vAlign w:val="center"/>
            <w:tcMar>
              <w:top w:w="80" w:type="dxa"/>
              <w:start w:w="95" w:type="dxa"/>
              <w:bottom w:w="80" w:type="dxa"/>
              <w:end w:w="95" w:type="dxa"/>
            </w:tcMar>
            <w:shd w:fill="18364F"/>
          </w:tcPr>
          <w:p>
            <w:pPr>
              <w:pStyle w:val="SmallTable"/>
              <w:jc w:val="left"/>
            </w:pPr>
            <w:r/>
            <w:r>
              <w:rPr>
                <w:rFonts w:ascii="Times New Roman" w:hAnsi="Times New Roman"/>
                <w:b/>
                <w:color w:val="FFFFFF"/>
                <w:sz w:val="16"/>
              </w:rPr>
              <w:t>Method</w:t>
            </w:r>
          </w:p>
        </w:tc>
        <w:tc>
          <w:tcPr>
            <w:tcW w:type="dxa" w:w="3106"/>
            <w:vAlign w:val="center"/>
            <w:tcMar>
              <w:top w:w="80" w:type="dxa"/>
              <w:start w:w="95" w:type="dxa"/>
              <w:bottom w:w="80" w:type="dxa"/>
              <w:end w:w="95" w:type="dxa"/>
            </w:tcMar>
            <w:shd w:fill="18364F"/>
          </w:tcPr>
          <w:p>
            <w:pPr>
              <w:pStyle w:val="SmallTable"/>
              <w:jc w:val="left"/>
            </w:pPr>
            <w:r/>
            <w:r>
              <w:rPr>
                <w:rFonts w:ascii="Times New Roman" w:hAnsi="Times New Roman"/>
                <w:b/>
                <w:color w:val="FFFFFF"/>
                <w:sz w:val="16"/>
              </w:rPr>
              <w:t>Purpose</w:t>
            </w:r>
          </w:p>
        </w:tc>
      </w:tr>
      <w:tr>
        <w:tc>
          <w:tcPr>
            <w:tcW w:type="dxa" w:w="3312"/>
            <w:vAlign w:val="center"/>
            <w:tcMar>
              <w:top w:w="80" w:type="dxa"/>
              <w:start w:w="95" w:type="dxa"/>
              <w:bottom w:w="80" w:type="dxa"/>
              <w:end w:w="95" w:type="dxa"/>
            </w:tcMar>
          </w:tcPr>
          <w:p>
            <w:pPr>
              <w:pStyle w:val="SmallTable"/>
              <w:jc w:val="left"/>
            </w:pPr>
            <w:r/>
            <w:r>
              <w:rPr>
                <w:rFonts w:ascii="Times New Roman" w:hAnsi="Times New Roman"/>
                <w:b w:val="0"/>
                <w:sz w:val="16"/>
              </w:rPr>
              <w:t>/api/health</w:t>
            </w:r>
          </w:p>
        </w:tc>
        <w:tc>
          <w:tcPr>
            <w:tcW w:type="dxa" w:w="1152"/>
            <w:vAlign w:val="center"/>
            <w:tcMar>
              <w:top w:w="80" w:type="dxa"/>
              <w:start w:w="95" w:type="dxa"/>
              <w:bottom w:w="80" w:type="dxa"/>
              <w:end w:w="95" w:type="dxa"/>
            </w:tcMar>
          </w:tcPr>
          <w:p>
            <w:pPr>
              <w:pStyle w:val="SmallTable"/>
              <w:jc w:val="left"/>
            </w:pPr>
            <w:r/>
            <w:r>
              <w:rPr>
                <w:rFonts w:ascii="Times New Roman" w:hAnsi="Times New Roman"/>
                <w:b w:val="0"/>
                <w:sz w:val="16"/>
              </w:rPr>
              <w:t>GET</w:t>
            </w:r>
          </w:p>
        </w:tc>
        <w:tc>
          <w:tcPr>
            <w:tcW w:type="dxa" w:w="4464"/>
            <w:vAlign w:val="center"/>
            <w:tcMar>
              <w:top w:w="80" w:type="dxa"/>
              <w:start w:w="95" w:type="dxa"/>
              <w:bottom w:w="80" w:type="dxa"/>
              <w:end w:w="95" w:type="dxa"/>
            </w:tcMar>
          </w:tcPr>
          <w:p>
            <w:pPr>
              <w:pStyle w:val="SmallTable"/>
              <w:jc w:val="left"/>
            </w:pPr>
            <w:r/>
            <w:r>
              <w:rPr>
                <w:rFonts w:ascii="Times New Roman" w:hAnsi="Times New Roman"/>
                <w:b w:val="0"/>
                <w:sz w:val="16"/>
              </w:rPr>
              <w:t>Reports backend and local model availability.</w:t>
            </w:r>
          </w:p>
        </w:tc>
      </w:tr>
      <w:tr>
        <w:tc>
          <w:tcPr>
            <w:tcW w:type="dxa" w:w="3312"/>
            <w:vAlign w:val="center"/>
            <w:tcMar>
              <w:top w:w="80" w:type="dxa"/>
              <w:start w:w="95" w:type="dxa"/>
              <w:bottom w:w="80" w:type="dxa"/>
              <w:end w:w="95" w:type="dxa"/>
            </w:tcMar>
            <w:shd w:fill="F1F5F8"/>
          </w:tcPr>
          <w:p>
            <w:pPr>
              <w:pStyle w:val="SmallTable"/>
              <w:jc w:val="left"/>
            </w:pPr>
            <w:r/>
            <w:r>
              <w:rPr>
                <w:rFonts w:ascii="Times New Roman" w:hAnsi="Times New Roman"/>
                <w:b w:val="0"/>
                <w:sz w:val="16"/>
              </w:rPr>
              <w:t>/api/analyze/email</w:t>
            </w:r>
          </w:p>
        </w:tc>
        <w:tc>
          <w:tcPr>
            <w:tcW w:type="dxa" w:w="1152"/>
            <w:vAlign w:val="center"/>
            <w:tcMar>
              <w:top w:w="80" w:type="dxa"/>
              <w:start w:w="95" w:type="dxa"/>
              <w:bottom w:w="80" w:type="dxa"/>
              <w:end w:w="95" w:type="dxa"/>
            </w:tcMar>
            <w:shd w:fill="F1F5F8"/>
          </w:tcPr>
          <w:p>
            <w:pPr>
              <w:pStyle w:val="SmallTable"/>
              <w:jc w:val="left"/>
            </w:pPr>
            <w:r/>
            <w:r>
              <w:rPr>
                <w:rFonts w:ascii="Times New Roman" w:hAnsi="Times New Roman"/>
                <w:b w:val="0"/>
                <w:sz w:val="16"/>
              </w:rPr>
              <w:t>POST</w:t>
            </w:r>
          </w:p>
        </w:tc>
        <w:tc>
          <w:tcPr>
            <w:tcW w:type="dxa" w:w="4464"/>
            <w:vAlign w:val="center"/>
            <w:tcMar>
              <w:top w:w="80" w:type="dxa"/>
              <w:start w:w="95" w:type="dxa"/>
              <w:bottom w:w="80" w:type="dxa"/>
              <w:end w:w="95" w:type="dxa"/>
            </w:tcMar>
            <w:shd w:fill="F1F5F8"/>
          </w:tcPr>
          <w:p>
            <w:pPr>
              <w:pStyle w:val="SmallTable"/>
              <w:jc w:val="left"/>
            </w:pPr>
            <w:r/>
            <w:r>
              <w:rPr>
                <w:rFonts w:ascii="Times New Roman" w:hAnsi="Times New Roman"/>
                <w:b w:val="0"/>
                <w:sz w:val="16"/>
              </w:rPr>
              <w:t>Analyzes email text.</w:t>
            </w:r>
          </w:p>
        </w:tc>
      </w:tr>
      <w:tr>
        <w:tc>
          <w:tcPr>
            <w:tcW w:type="dxa" w:w="3312"/>
            <w:vAlign w:val="center"/>
            <w:tcMar>
              <w:top w:w="80" w:type="dxa"/>
              <w:start w:w="95" w:type="dxa"/>
              <w:bottom w:w="80" w:type="dxa"/>
              <w:end w:w="95" w:type="dxa"/>
            </w:tcMar>
          </w:tcPr>
          <w:p>
            <w:pPr>
              <w:pStyle w:val="SmallTable"/>
              <w:jc w:val="left"/>
            </w:pPr>
            <w:r/>
            <w:r>
              <w:rPr>
                <w:rFonts w:ascii="Times New Roman" w:hAnsi="Times New Roman"/>
                <w:b w:val="0"/>
                <w:sz w:val="16"/>
              </w:rPr>
              <w:t>/api/analyze/audio</w:t>
            </w:r>
          </w:p>
        </w:tc>
        <w:tc>
          <w:tcPr>
            <w:tcW w:type="dxa" w:w="1152"/>
            <w:vAlign w:val="center"/>
            <w:tcMar>
              <w:top w:w="80" w:type="dxa"/>
              <w:start w:w="95" w:type="dxa"/>
              <w:bottom w:w="80" w:type="dxa"/>
              <w:end w:w="95" w:type="dxa"/>
            </w:tcMar>
          </w:tcPr>
          <w:p>
            <w:pPr>
              <w:pStyle w:val="SmallTable"/>
              <w:jc w:val="left"/>
            </w:pPr>
            <w:r/>
            <w:r>
              <w:rPr>
                <w:rFonts w:ascii="Times New Roman" w:hAnsi="Times New Roman"/>
                <w:b w:val="0"/>
                <w:sz w:val="16"/>
              </w:rPr>
              <w:t>POST</w:t>
            </w:r>
          </w:p>
        </w:tc>
        <w:tc>
          <w:tcPr>
            <w:tcW w:type="dxa" w:w="4464"/>
            <w:vAlign w:val="center"/>
            <w:tcMar>
              <w:top w:w="80" w:type="dxa"/>
              <w:start w:w="95" w:type="dxa"/>
              <w:bottom w:w="80" w:type="dxa"/>
              <w:end w:w="95" w:type="dxa"/>
            </w:tcMar>
          </w:tcPr>
          <w:p>
            <w:pPr>
              <w:pStyle w:val="SmallTable"/>
              <w:jc w:val="left"/>
            </w:pPr>
            <w:r/>
            <w:r>
              <w:rPr>
                <w:rFonts w:ascii="Times New Roman" w:hAnsi="Times New Roman"/>
                <w:b w:val="0"/>
                <w:sz w:val="16"/>
              </w:rPr>
              <w:t>Analyzes an audio upload.</w:t>
            </w:r>
          </w:p>
        </w:tc>
      </w:tr>
      <w:tr>
        <w:tc>
          <w:tcPr>
            <w:tcW w:type="dxa" w:w="3312"/>
            <w:vAlign w:val="center"/>
            <w:tcMar>
              <w:top w:w="80" w:type="dxa"/>
              <w:start w:w="95" w:type="dxa"/>
              <w:bottom w:w="80" w:type="dxa"/>
              <w:end w:w="95" w:type="dxa"/>
            </w:tcMar>
            <w:shd w:fill="F1F5F8"/>
          </w:tcPr>
          <w:p>
            <w:pPr>
              <w:pStyle w:val="SmallTable"/>
              <w:jc w:val="left"/>
            </w:pPr>
            <w:r/>
            <w:r>
              <w:rPr>
                <w:rFonts w:ascii="Times New Roman" w:hAnsi="Times New Roman"/>
                <w:b w:val="0"/>
                <w:sz w:val="16"/>
              </w:rPr>
              <w:t>/api/analyze/video</w:t>
            </w:r>
          </w:p>
        </w:tc>
        <w:tc>
          <w:tcPr>
            <w:tcW w:type="dxa" w:w="1152"/>
            <w:vAlign w:val="center"/>
            <w:tcMar>
              <w:top w:w="80" w:type="dxa"/>
              <w:start w:w="95" w:type="dxa"/>
              <w:bottom w:w="80" w:type="dxa"/>
              <w:end w:w="95" w:type="dxa"/>
            </w:tcMar>
            <w:shd w:fill="F1F5F8"/>
          </w:tcPr>
          <w:p>
            <w:pPr>
              <w:pStyle w:val="SmallTable"/>
              <w:jc w:val="left"/>
            </w:pPr>
            <w:r/>
            <w:r>
              <w:rPr>
                <w:rFonts w:ascii="Times New Roman" w:hAnsi="Times New Roman"/>
                <w:b w:val="0"/>
                <w:sz w:val="16"/>
              </w:rPr>
              <w:t>POST</w:t>
            </w:r>
          </w:p>
        </w:tc>
        <w:tc>
          <w:tcPr>
            <w:tcW w:type="dxa" w:w="4464"/>
            <w:vAlign w:val="center"/>
            <w:tcMar>
              <w:top w:w="80" w:type="dxa"/>
              <w:start w:w="95" w:type="dxa"/>
              <w:bottom w:w="80" w:type="dxa"/>
              <w:end w:w="95" w:type="dxa"/>
            </w:tcMar>
            <w:shd w:fill="F1F5F8"/>
          </w:tcPr>
          <w:p>
            <w:pPr>
              <w:pStyle w:val="SmallTable"/>
              <w:jc w:val="left"/>
            </w:pPr>
            <w:r/>
            <w:r>
              <w:rPr>
                <w:rFonts w:ascii="Times New Roman" w:hAnsi="Times New Roman"/>
                <w:b w:val="0"/>
                <w:sz w:val="16"/>
              </w:rPr>
              <w:t>Analyzes a video upload.</w:t>
            </w:r>
          </w:p>
        </w:tc>
      </w:tr>
      <w:tr>
        <w:tc>
          <w:tcPr>
            <w:tcW w:type="dxa" w:w="3312"/>
            <w:vAlign w:val="center"/>
            <w:tcMar>
              <w:top w:w="80" w:type="dxa"/>
              <w:start w:w="95" w:type="dxa"/>
              <w:bottom w:w="80" w:type="dxa"/>
              <w:end w:w="95" w:type="dxa"/>
            </w:tcMar>
          </w:tcPr>
          <w:p>
            <w:pPr>
              <w:pStyle w:val="SmallTable"/>
              <w:jc w:val="left"/>
            </w:pPr>
            <w:r/>
            <w:r>
              <w:rPr>
                <w:rFonts w:ascii="Times New Roman" w:hAnsi="Times New Roman"/>
                <w:b w:val="0"/>
                <w:sz w:val="16"/>
              </w:rPr>
              <w:t>/api/analyze/multimodal</w:t>
            </w:r>
          </w:p>
        </w:tc>
        <w:tc>
          <w:tcPr>
            <w:tcW w:type="dxa" w:w="1152"/>
            <w:vAlign w:val="center"/>
            <w:tcMar>
              <w:top w:w="80" w:type="dxa"/>
              <w:start w:w="95" w:type="dxa"/>
              <w:bottom w:w="80" w:type="dxa"/>
              <w:end w:w="95" w:type="dxa"/>
            </w:tcMar>
          </w:tcPr>
          <w:p>
            <w:pPr>
              <w:pStyle w:val="SmallTable"/>
              <w:jc w:val="left"/>
            </w:pPr>
            <w:r/>
            <w:r>
              <w:rPr>
                <w:rFonts w:ascii="Times New Roman" w:hAnsi="Times New Roman"/>
                <w:b w:val="0"/>
                <w:sz w:val="16"/>
              </w:rPr>
              <w:t>POST</w:t>
            </w:r>
          </w:p>
        </w:tc>
        <w:tc>
          <w:tcPr>
            <w:tcW w:type="dxa" w:w="4464"/>
            <w:vAlign w:val="center"/>
            <w:tcMar>
              <w:top w:w="80" w:type="dxa"/>
              <w:start w:w="95" w:type="dxa"/>
              <w:bottom w:w="80" w:type="dxa"/>
              <w:end w:w="95" w:type="dxa"/>
            </w:tcMar>
          </w:tcPr>
          <w:p>
            <w:pPr>
              <w:pStyle w:val="SmallTable"/>
              <w:jc w:val="left"/>
            </w:pPr>
            <w:r/>
            <w:r>
              <w:rPr>
                <w:rFonts w:ascii="Times New Roman" w:hAnsi="Times New Roman"/>
                <w:b w:val="0"/>
                <w:sz w:val="16"/>
              </w:rPr>
              <w:t>Analyzes any submitted combination of email text, audio, and video.</w:t>
            </w:r>
          </w:p>
        </w:tc>
      </w:tr>
    </w:tbl>
    <w:p>
      <w:pPr>
        <w:spacing w:after="0"/>
      </w:pPr>
    </w:p>
    <w:p>
      <w:r>
        <w:rPr>
          <w:i w:val="0"/>
        </w:rPr>
        <w:t>The API response contains an analysis ID, analysis type, status, prediction label and score, score type, model name, summary, indicators, creation time, and modality status. File handling applies extension, size, and duration controls. The API attempts each supplied sensor independently and can return a partial status if one sensor fails while others succeed [P1].</w:t>
      </w:r>
    </w:p>
    <w:p>
      <w:pPr>
        <w:pStyle w:val="Heading2"/>
      </w:pPr>
      <w:r>
        <w:t>9.3 Email Inference</w:t>
      </w:r>
    </w:p>
    <w:p>
      <w:r>
        <w:rPr>
          <w:i w:val="0"/>
        </w:rPr>
        <w:t>The backend loads a locally stored DistilBERT sequence-classification model and tokenizer. It tokenizes text to a maximum sequence length of 256, applies a softmax, and uses class index 1 as the phishing score. The single-modality email endpoint and fusion indicator use a 0.50 threshold. The classification checkpoint is stored under models/final/phishing_email.</w:t>
      </w:r>
    </w:p>
    <w:p>
      <w:pPr>
        <w:pStyle w:val="Heading2"/>
      </w:pPr>
      <w:r>
        <w:t>9.4 Audio Inference</w:t>
      </w:r>
    </w:p>
    <w:p>
      <w:r>
        <w:rPr>
          <w:i w:val="0"/>
        </w:rPr>
        <w:t>Audio is decoded at 16 kHz and transformed into a 40 by 300 MFCC matrix with 2,048-point FFT and 512-point hop. The CNN contains three convolution, batch-normalization, ReLU, and max-pooling stages with 32, 64, and 128 channels, followed by a 256-unit fully connected layer, dropout, and a single logit. The sigmoid score is treated as spoof confidence; the operational classification boundary is 0.45. The saved checkpoint is models/final/audio_detector/audio_cnn_model.pth.</w:t>
      </w:r>
    </w:p>
    <w:p>
      <w:pPr>
        <w:pStyle w:val="Heading2"/>
      </w:pPr>
      <w:r>
        <w:t>9.5 Video Inference</w:t>
      </w:r>
    </w:p>
    <w:p>
      <w:r>
        <w:rPr>
          <w:i w:val="0"/>
        </w:rPr>
        <w:t>The video model is an EfficientNet-B0 with a replaced classifier head. MTCNN detects faces in sampled frames; face detections above 0.90 confidence are cropped and normalized. The backend averages up to five face-crop scores. The raw model score is shifted in logit space by a calibration threshold. The code falls back to 0.7920 if no valid calibration file is available; a raw score equal to the calibration threshold maps to a calibrated score of 0.50. A present calibration file overrides this legacy threshold. The checkpoint is models/final/video_detector/model.safetensors_2.</w:t>
      </w:r>
    </w:p>
    <w:p>
      <w:pPr>
        <w:pStyle w:val="Heading2"/>
      </w:pPr>
      <w:r>
        <w:t>9.6 Fusion and User Interface</w:t>
      </w:r>
    </w:p>
    <w:p>
      <w:r>
        <w:rPr>
          <w:i w:val="0"/>
        </w:rPr>
        <w:t>The fusion function in src/fusion.py uses equal nominal weights of 0.3333, renormalizes over available sensors, and applies a veto at 0.85 for audio or video. The React interface exposes Dashboard, Email Intelligence, Audio Forensics, Video Forensics, Multimodal Fusion, Threat Reports, and Settings pages. The browser-side report module saves lightweight metadata in localStorage and creates a jsPDF document locally; it does not send PDF content to a server [P2, P5].</w:t>
      </w:r>
    </w:p>
    <w:p>
      <w:pPr>
        <w:pStyle w:val="Heading2"/>
      </w:pPr>
      <w:r>
        <w:t>9.7 Deployment and Privacy</w:t>
      </w:r>
    </w:p>
    <w:p>
      <w:r>
        <w:rPr>
          <w:i w:val="0"/>
        </w:rPr>
        <w:t>Docker Compose defines separate FastAPI and Nginx/React services, mounts model weights read-only, enables Hugging Face offline mode, and publishes the UI on loopback by default. This supports local operation after image dependencies and weights are present. It is not sufficient by itself to certify an air gap: host firewall, network routes, dependency supply chain, and machine configuration remain outside the application code. The report therefore describes the application as local inference and does not claim externally audited isolation.</w:t>
      </w:r>
    </w:p>
    <w:p>
      <w:pPr>
        <w:pStyle w:val="Heading2"/>
      </w:pPr>
      <w:r>
        <w:t>9.8 Reproducibility and Testing Status</w:t>
      </w:r>
    </w:p>
    <w:p>
      <w:r>
        <w:rPr>
          <w:i w:val="0"/>
        </w:rPr>
        <w:t>The repository contains model weights, source notebooks, backend and frontend code, and a new benchmark runner with a manifest contract. The snapshot does not contain a completed run of that runner, per-scenario fusion predictions, or versioned audio/video evaluation reports. The root README and selected source modules are empty starter files. These gaps limit replication of model training and performance claims even though the application inference pipeline is implemented.</w:t>
      </w:r>
    </w:p>
    <w:p>
      <w:pPr>
        <w:keepNext/>
        <w:pageBreakBefore/>
        <w:spacing w:after="240"/>
      </w:pPr>
      <w:r>
        <w:rPr>
          <w:rFonts w:ascii="Times New Roman" w:hAnsi="Times New Roman"/>
          <w:b/>
          <w:color w:val="102C43"/>
          <w:sz w:val="30"/>
        </w:rPr>
        <w:t>CHAPTER 10  RESULTS AND DISCUSSION</w:t>
      </w:r>
    </w:p>
    <w:p>
      <w:pPr>
        <w:pStyle w:val="Heading2"/>
      </w:pPr>
      <w:r>
        <w:t>10.1 Email Result Available in the Project</w:t>
      </w:r>
    </w:p>
    <w:p>
      <w:r>
        <w:rPr>
          <w:i w:val="0"/>
        </w:rPr>
        <w:t>The saved classification report states an accuracy of 0.9880 on 3,508 examples. It lists 2,196 Safe examples and 1,312 Phishing examples, with class precision, recall, and F1 rounded to two decimal places [P6]. The notebook records an 80/20 stratified split with random state 42 and the same test size [P7]. This is a reported result for the email model and dataset split; it should not be generalized to other institutions or attack populations.</w:t>
      </w:r>
    </w:p>
    <w:tbl>
      <w:tblPr>
        <w:tblW w:type="auto" w:w="0"/>
        <w:jc w:val="center"/>
        <w:tblLayout w:type="fixed"/>
        <w:tblLook w:firstColumn="1" w:firstRow="1" w:lastColumn="0" w:lastRow="0" w:noHBand="0" w:noVBand="1" w:val="04A0"/>
        <w:tblBorders>
          <w:top w:val="single" w:sz="5" w:space="0" w:color="9BAABA"/>
          <w:left w:val="single" w:sz="5" w:space="0" w:color="9BAABA"/>
          <w:bottom w:val="single" w:sz="5" w:space="0" w:color="9BAABA"/>
          <w:right w:val="single" w:sz="5" w:space="0" w:color="9BAABA"/>
          <w:insideH w:val="single" w:sz="5" w:space="0" w:color="9BAABA"/>
          <w:insideV w:val="single" w:sz="5" w:space="0" w:color="9BAABA"/>
        </w:tblBorders>
      </w:tblPr>
      <w:tblGrid>
        <w:gridCol w:w="2880"/>
        <w:gridCol w:w="2880"/>
        <w:gridCol w:w="3312"/>
      </w:tblGrid>
      <w:tr>
        <w:trPr>
          <w:tblHeader w:val="true"/>
        </w:trPr>
        <w:tc>
          <w:tcPr>
            <w:tcW w:type="dxa" w:w="3106"/>
            <w:vAlign w:val="center"/>
            <w:tcMar>
              <w:top w:w="80" w:type="dxa"/>
              <w:start w:w="95" w:type="dxa"/>
              <w:bottom w:w="80" w:type="dxa"/>
              <w:end w:w="95" w:type="dxa"/>
            </w:tcMar>
            <w:shd w:fill="18364F"/>
          </w:tcPr>
          <w:p>
            <w:pPr>
              <w:pStyle w:val="SmallTable"/>
              <w:jc w:val="left"/>
            </w:pPr>
            <w:r/>
            <w:r>
              <w:rPr>
                <w:rFonts w:ascii="Times New Roman" w:hAnsi="Times New Roman"/>
                <w:b/>
                <w:color w:val="FFFFFF"/>
                <w:sz w:val="16"/>
              </w:rPr>
              <w:t>Evidence source</w:t>
            </w:r>
          </w:p>
        </w:tc>
        <w:tc>
          <w:tcPr>
            <w:tcW w:type="dxa" w:w="3106"/>
            <w:vAlign w:val="center"/>
            <w:tcMar>
              <w:top w:w="80" w:type="dxa"/>
              <w:start w:w="95" w:type="dxa"/>
              <w:bottom w:w="80" w:type="dxa"/>
              <w:end w:w="95" w:type="dxa"/>
            </w:tcMar>
            <w:shd w:fill="18364F"/>
          </w:tcPr>
          <w:p>
            <w:pPr>
              <w:pStyle w:val="SmallTable"/>
              <w:jc w:val="left"/>
            </w:pPr>
            <w:r/>
            <w:r>
              <w:rPr>
                <w:rFonts w:ascii="Times New Roman" w:hAnsi="Times New Roman"/>
                <w:b/>
                <w:color w:val="FFFFFF"/>
                <w:sz w:val="16"/>
              </w:rPr>
              <w:t>Recorded value</w:t>
            </w:r>
          </w:p>
        </w:tc>
        <w:tc>
          <w:tcPr>
            <w:tcW w:type="dxa" w:w="3106"/>
            <w:vAlign w:val="center"/>
            <w:tcMar>
              <w:top w:w="80" w:type="dxa"/>
              <w:start w:w="95" w:type="dxa"/>
              <w:bottom w:w="80" w:type="dxa"/>
              <w:end w:w="95" w:type="dxa"/>
            </w:tcMar>
            <w:shd w:fill="18364F"/>
          </w:tcPr>
          <w:p>
            <w:pPr>
              <w:pStyle w:val="SmallTable"/>
              <w:jc w:val="left"/>
            </w:pPr>
            <w:r/>
            <w:r>
              <w:rPr>
                <w:rFonts w:ascii="Times New Roman" w:hAnsi="Times New Roman"/>
                <w:b/>
                <w:color w:val="FFFFFF"/>
                <w:sz w:val="16"/>
              </w:rPr>
              <w:t>Interpretation</w:t>
            </w:r>
          </w:p>
        </w:tc>
      </w:tr>
      <w:tr>
        <w:tc>
          <w:tcPr>
            <w:tcW w:type="dxa" w:w="2880"/>
            <w:vAlign w:val="center"/>
            <w:tcMar>
              <w:top w:w="80" w:type="dxa"/>
              <w:start w:w="95" w:type="dxa"/>
              <w:bottom w:w="80" w:type="dxa"/>
              <w:end w:w="95" w:type="dxa"/>
            </w:tcMar>
          </w:tcPr>
          <w:p>
            <w:pPr>
              <w:pStyle w:val="SmallTable"/>
              <w:jc w:val="left"/>
            </w:pPr>
            <w:r/>
            <w:r>
              <w:rPr>
                <w:rFonts w:ascii="Times New Roman" w:hAnsi="Times New Roman"/>
                <w:b w:val="0"/>
                <w:sz w:val="16"/>
              </w:rPr>
              <w:t>outputs/reports/classification_report.txt</w:t>
            </w:r>
          </w:p>
        </w:tc>
        <w:tc>
          <w:tcPr>
            <w:tcW w:type="dxa" w:w="2880"/>
            <w:vAlign w:val="center"/>
            <w:tcMar>
              <w:top w:w="80" w:type="dxa"/>
              <w:start w:w="95" w:type="dxa"/>
              <w:bottom w:w="80" w:type="dxa"/>
              <w:end w:w="95" w:type="dxa"/>
            </w:tcMar>
          </w:tcPr>
          <w:p>
            <w:pPr>
              <w:pStyle w:val="SmallTable"/>
              <w:jc w:val="left"/>
            </w:pPr>
            <w:r/>
            <w:r>
              <w:rPr>
                <w:rFonts w:ascii="Times New Roman" w:hAnsi="Times New Roman"/>
                <w:b w:val="0"/>
                <w:sz w:val="16"/>
              </w:rPr>
              <w:t>Accuracy 0.9880; N=3,508</w:t>
            </w:r>
          </w:p>
        </w:tc>
        <w:tc>
          <w:tcPr>
            <w:tcW w:type="dxa" w:w="3312"/>
            <w:vAlign w:val="center"/>
            <w:tcMar>
              <w:top w:w="80" w:type="dxa"/>
              <w:start w:w="95" w:type="dxa"/>
              <w:bottom w:w="80" w:type="dxa"/>
              <w:end w:w="95" w:type="dxa"/>
            </w:tcMar>
          </w:tcPr>
          <w:p>
            <w:pPr>
              <w:pStyle w:val="SmallTable"/>
              <w:jc w:val="left"/>
            </w:pPr>
            <w:r/>
            <w:r>
              <w:rPr>
                <w:rFonts w:ascii="Times New Roman" w:hAnsi="Times New Roman"/>
                <w:b w:val="0"/>
                <w:sz w:val="16"/>
              </w:rPr>
              <w:t>Saved report value; rounded class metrics; no raw prediction export included.</w:t>
            </w:r>
          </w:p>
        </w:tc>
      </w:tr>
      <w:tr>
        <w:tc>
          <w:tcPr>
            <w:tcW w:type="dxa" w:w="2880"/>
            <w:vAlign w:val="center"/>
            <w:tcMar>
              <w:top w:w="80" w:type="dxa"/>
              <w:start w:w="95" w:type="dxa"/>
              <w:bottom w:w="80" w:type="dxa"/>
              <w:end w:w="95" w:type="dxa"/>
            </w:tcMar>
            <w:shd w:fill="F1F5F8"/>
          </w:tcPr>
          <w:p>
            <w:pPr>
              <w:pStyle w:val="SmallTable"/>
              <w:jc w:val="left"/>
            </w:pPr>
            <w:r/>
            <w:r>
              <w:rPr>
                <w:rFonts w:ascii="Times New Roman" w:hAnsi="Times New Roman"/>
                <w:b w:val="0"/>
                <w:sz w:val="16"/>
              </w:rPr>
              <w:t>SynthGuard handover record</w:t>
            </w:r>
          </w:p>
        </w:tc>
        <w:tc>
          <w:tcPr>
            <w:tcW w:type="dxa" w:w="2880"/>
            <w:vAlign w:val="center"/>
            <w:tcMar>
              <w:top w:w="80" w:type="dxa"/>
              <w:start w:w="95" w:type="dxa"/>
              <w:bottom w:w="80" w:type="dxa"/>
              <w:end w:w="95" w:type="dxa"/>
            </w:tcMar>
            <w:shd w:fill="F1F5F8"/>
          </w:tcPr>
          <w:p>
            <w:pPr>
              <w:pStyle w:val="SmallTable"/>
              <w:jc w:val="left"/>
            </w:pPr>
            <w:r/>
            <w:r>
              <w:rPr>
                <w:rFonts w:ascii="Times New Roman" w:hAnsi="Times New Roman"/>
                <w:b w:val="0"/>
                <w:sz w:val="16"/>
              </w:rPr>
              <w:t>TN=2,172; FP=24; FN=22; TP=1,290</w:t>
            </w:r>
          </w:p>
        </w:tc>
        <w:tc>
          <w:tcPr>
            <w:tcW w:type="dxa" w:w="3312"/>
            <w:vAlign w:val="center"/>
            <w:tcMar>
              <w:top w:w="80" w:type="dxa"/>
              <w:start w:w="95" w:type="dxa"/>
              <w:bottom w:w="80" w:type="dxa"/>
              <w:end w:w="95" w:type="dxa"/>
            </w:tcMar>
            <w:shd w:fill="F1F5F8"/>
          </w:tcPr>
          <w:p>
            <w:pPr>
              <w:pStyle w:val="SmallTable"/>
              <w:jc w:val="left"/>
            </w:pPr>
            <w:r/>
            <w:r>
              <w:rPr>
                <w:rFonts w:ascii="Times New Roman" w:hAnsi="Times New Roman"/>
                <w:b w:val="0"/>
                <w:sz w:val="16"/>
              </w:rPr>
              <w:t>These counts total 3,508 but imply accuracy 98.69%, FPR 1.09%, FNR 1.68%.</w:t>
            </w:r>
          </w:p>
        </w:tc>
      </w:tr>
      <w:tr>
        <w:tc>
          <w:tcPr>
            <w:tcW w:type="dxa" w:w="2880"/>
            <w:vAlign w:val="center"/>
            <w:tcMar>
              <w:top w:w="80" w:type="dxa"/>
              <w:start w:w="95" w:type="dxa"/>
              <w:bottom w:w="80" w:type="dxa"/>
              <w:end w:w="95" w:type="dxa"/>
            </w:tcMar>
          </w:tcPr>
          <w:p>
            <w:pPr>
              <w:pStyle w:val="SmallTable"/>
              <w:jc w:val="left"/>
            </w:pPr>
            <w:r/>
            <w:r>
              <w:rPr>
                <w:rFonts w:ascii="Times New Roman" w:hAnsi="Times New Roman"/>
                <w:b w:val="0"/>
                <w:sz w:val="16"/>
              </w:rPr>
              <w:t>Reconciliation</w:t>
            </w:r>
          </w:p>
        </w:tc>
        <w:tc>
          <w:tcPr>
            <w:tcW w:type="dxa" w:w="2880"/>
            <w:vAlign w:val="center"/>
            <w:tcMar>
              <w:top w:w="80" w:type="dxa"/>
              <w:start w:w="95" w:type="dxa"/>
              <w:bottom w:w="80" w:type="dxa"/>
              <w:end w:w="95" w:type="dxa"/>
            </w:tcMar>
          </w:tcPr>
          <w:p>
            <w:pPr>
              <w:pStyle w:val="SmallTable"/>
              <w:jc w:val="left"/>
            </w:pPr>
            <w:r/>
            <w:r>
              <w:rPr>
                <w:rFonts w:ascii="Times New Roman" w:hAnsi="Times New Roman"/>
                <w:b w:val="0"/>
                <w:sz w:val="16"/>
              </w:rPr>
              <w:t>98.80% versus 98.69%</w:t>
            </w:r>
          </w:p>
        </w:tc>
        <w:tc>
          <w:tcPr>
            <w:tcW w:type="dxa" w:w="3312"/>
            <w:vAlign w:val="center"/>
            <w:tcMar>
              <w:top w:w="80" w:type="dxa"/>
              <w:start w:w="95" w:type="dxa"/>
              <w:bottom w:w="80" w:type="dxa"/>
              <w:end w:w="95" w:type="dxa"/>
            </w:tcMar>
          </w:tcPr>
          <w:p>
            <w:pPr>
              <w:pStyle w:val="SmallTable"/>
              <w:jc w:val="left"/>
            </w:pPr>
            <w:r/>
            <w:r>
              <w:rPr>
                <w:rFonts w:ascii="Times New Roman" w:hAnsi="Times New Roman"/>
                <w:b w:val="0"/>
                <w:sz w:val="16"/>
              </w:rPr>
              <w:t>Difference of 0.11 percentage points; prediction-level outputs are needed to resolve.</w:t>
            </w:r>
          </w:p>
        </w:tc>
      </w:tr>
    </w:tbl>
    <w:p>
      <w:pPr>
        <w:spacing w:after="0"/>
      </w:pPr>
    </w:p>
    <w:p>
      <w:r>
        <w:rPr>
          <w:i w:val="0"/>
        </w:rPr>
        <w:t>The recorded counts yield (2,172 + 1,290) / 3,508 = 98.69% accuracy. The same counts yield 24 / (24 + 2,172) = 1.09% FPR and 22 / (22 + 1,290) = 1.68% FNR. Because the report’s headline 0.9880 does not exactly match that matrix, the report treats both as archived values and does not select one as final. Re-evaluating the saved checkpoint on the saved test split and exporting predictions is the appropriate resolution.</w:t>
      </w:r>
    </w:p>
    <w:p>
      <w:pPr>
        <w:pStyle w:val="Heading2"/>
      </w:pPr>
      <w:r>
        <w:t>10.2 Audio and Video Results</w:t>
      </w:r>
    </w:p>
    <w:p>
      <w:r>
        <w:rPr>
          <w:i w:val="0"/>
        </w:rPr>
        <w:t>Audio and video checkpoints are present, and their inference implementations are visible in the backend. The reviewed project outputs do not include a final confusion matrix, thresholded test predictions, EER report, ROC/AUC report, or sample-level test metrics for these models. Accordingly, this report does not assign accuracy or error-rate values to either modality. The operational thresholds (audio 0.45; video raw calibration fallback 0.7920 mapped to a calibrated 0.50 boundary) are implementation settings, not evidence of benchmark performance.</w:t>
      </w:r>
    </w:p>
    <w:p>
      <w:pPr>
        <w:pStyle w:val="Heading2"/>
      </w:pPr>
      <w:r>
        <w:t>10.3 Multimodal Fusion Results</w:t>
      </w:r>
    </w:p>
    <w:p>
      <w:r>
        <w:rPr>
          <w:i w:val="0"/>
        </w:rPr>
        <w:t>The fusion function is implemented, but no completed paired held-out evaluation artifacts were found in outputs/reports. Historical ablation rows in the project are explicitly identified as unverified because their former pipeline combined unrelated modality records and selected a video threshold on the scoring records [P8]. The current runner requires curated paired scenarios and creates metrics, prediction, and run-metadata outputs; those outputs are not present. The earlier percentages such as 99.1% accuracy and 0.4% false-negative rate are therefore omitted as measured claims.</w:t>
      </w:r>
    </w:p>
    <w:p>
      <w:r>
        <w:rPr>
          <w:i w:val="0"/>
        </w:rPr>
        <w:t>The examples in Chapter 8 demonstrate how the code behaves for selected numeric inputs. They validate arithmetic by inspection only. They do not establish sensor detection, fault tolerance on real attacks, or improved accuracy across the seven modality subsets.</w:t>
      </w:r>
    </w:p>
    <w:p>
      <w:pPr>
        <w:pStyle w:val="Heading2"/>
      </w:pPr>
      <w:r>
        <w:t>10.4 Integrated System Results</w:t>
      </w:r>
    </w:p>
    <w:p>
      <w:r>
        <w:rPr>
          <w:i w:val="0"/>
        </w:rPr>
        <w:t>The implementation provides separate inference endpoints, a multimodal endpoint, health reporting, modality-level status, a dashboard, forensic scanners, local report history, and client-side PDF generation. Docker Compose configuration describes a local two-service deployment. No independently audited security test, sustained-load result, or measured latency report is present in this snapshot. Functional availability should therefore be demonstrated separately from detection quality.</w:t>
      </w:r>
    </w:p>
    <w:p>
      <w:pPr>
        <w:pStyle w:val="Heading2"/>
      </w:pPr>
      <w:r>
        <w:t>10.5 Discussion</w:t>
      </w:r>
    </w:p>
    <w:p>
      <w:r>
        <w:rPr>
          <w:i w:val="0"/>
        </w:rPr>
        <w:t>The strongest quantitative evidence currently available is the email classification report. Even that result needs a consistency check between its headline and the archived confusion counts. Audio and video are implemented but lack reproducible evaluation summaries in the repository. Fusion should be framed as a rule-based integration mechanism whose behavior is inspectable; any claim that it reduces false positives or false negatives requires an independently labeled paired test set. In particular, threshold selection, group separation, sensor coverage, class balance, and training-data overlap must be recorded before the result is used in a paper.</w:t>
      </w:r>
    </w:p>
    <w:p>
      <w:pPr>
        <w:keepNext/>
        <w:pageBreakBefore/>
        <w:spacing w:after="240"/>
      </w:pPr>
      <w:r>
        <w:rPr>
          <w:rFonts w:ascii="Times New Roman" w:hAnsi="Times New Roman"/>
          <w:b/>
          <w:color w:val="102C43"/>
          <w:sz w:val="30"/>
        </w:rPr>
        <w:t>CHAPTER 11  RESEARCH PAPER</w:t>
      </w:r>
    </w:p>
    <w:p>
      <w:pPr>
        <w:spacing w:after="160"/>
        <w:jc w:val="center"/>
      </w:pPr>
      <w:r>
        <w:rPr>
          <w:b/>
          <w:sz w:val="32"/>
        </w:rPr>
        <w:t>SynthGuard for Multimodal Threat and Synthetic Media Analysis</w:t>
      </w:r>
    </w:p>
    <w:p>
      <w:pPr>
        <w:jc w:val="center"/>
      </w:pPr>
      <w:r>
        <w:rPr>
          <w:sz w:val="20"/>
        </w:rPr>
        <w:t>Jay Sharma | TYCS47 | B.Sc. Computer Science</w:t>
      </w:r>
    </w:p>
    <w:p>
      <w:pPr>
        <w:spacing w:after="200"/>
        <w:jc w:val="center"/>
      </w:pPr>
      <w:r>
        <w:rPr>
          <w:sz w:val="18"/>
        </w:rPr>
        <w:t>Department of Computer Science, Bhavan's College, Mumbai University</w:t>
      </w:r>
    </w:p>
    <w:p>
      <w:pPr>
        <w:jc w:val="both"/>
      </w:pPr>
      <w:r>
        <w:rPr>
          <w:b/>
        </w:rPr>
        <w:t>Abstract—</w:t>
      </w:r>
      <w:r>
        <w:t xml:space="preserve"> SynthGuard is a local multimodal threat-analysis prototype that combines a DistilBERT email classifier, an MFCC-based audio convolutional neural network, and an MTCNN/EfficientNet-B0 video pipeline through a late-fusion rule. The system exposes local FastAPI inference endpoints and a React analyst interface with score and modality-status reporting. The saved email report states 98.8% accuracy on 3,508 examples, while an archived confusion matrix implies 98.69%; this inconsistency remains unresolved without sample-level predictions. The repository includes audio and video checkpoints and inference code but no completed held-out metric reports for those sensors or paired fusion. Therefore, this paper reports the implemented architecture and available evidence, not the earlier unverified multimodal accuracy claims. A benchmark design is specified for seven modality subsets using independent validation and test groups. The prototype demonstrates software integration; its generalization and operational effectiveness remain to be measured.</w:t>
      </w:r>
    </w:p>
    <w:p>
      <w:pPr>
        <w:jc w:val="both"/>
      </w:pPr>
      <w:r>
        <w:rPr>
          <w:b/>
        </w:rPr>
        <w:t>Index Terms—</w:t>
      </w:r>
      <w:r>
        <w:t>phishing detection, speech spoofing, deepfake video, multimodal fusion, local inference, forensic analysis.</w:t>
      </w:r>
    </w:p>
    <w:p>
      <w:pPr>
        <w:sectPr>
          <w:footerReference w:type="default" r:id="rId9"/>
          <w:pgSz w:w="11909" w:h="16834"/>
          <w:pgMar w:top="1296" w:right="1296" w:bottom="1181" w:left="1296" w:header="547" w:footer="504" w:gutter="0"/>
          <w:cols w:space="720"/>
          <w:docGrid w:linePitch="360"/>
        </w:sectPr>
      </w:pPr>
    </w:p>
    <w:p>
      <w:pPr>
        <w:keepNext/>
        <w:spacing w:before="140" w:after="60"/>
      </w:pPr>
      <w:r>
        <w:rPr>
          <w:rFonts w:ascii="Times New Roman" w:hAnsi="Times New Roman"/>
          <w:b/>
          <w:sz w:val="20"/>
        </w:rPr>
        <w:t>I. INTRODUCTION</w:t>
      </w:r>
    </w:p>
    <w:p>
      <w:pPr>
        <w:spacing w:line="240" w:lineRule="auto" w:after="80"/>
        <w:jc w:val="both"/>
      </w:pPr>
      <w:r>
        <w:rPr>
          <w:rFonts w:ascii="Times New Roman" w:hAnsi="Times New Roman"/>
          <w:sz w:val="18"/>
        </w:rPr>
        <w:t>Business email compromise and synthetic media attacks exploit trust across communication channels. Text, voice, and video detectors observe different evidence, but a combined result is meaningful only when inputs correspond to a coherent scenario and labels reflect the intended threat definition. SynthGuard implements a local prototype that routes email, audio, and video evidence to specialized local models and combines available scores. The research question is whether this architecture can be evaluated reproducibly across unimodal and multimodal subsets; the present artifacts establish implementation, not a general performance advantage.</w:t>
      </w:r>
    </w:p>
    <w:p>
      <w:pPr>
        <w:spacing w:line="240" w:lineRule="auto" w:after="80"/>
        <w:jc w:val="both"/>
      </w:pPr>
      <w:r>
        <w:rPr>
          <w:rFonts w:ascii="Times New Roman" w:hAnsi="Times New Roman"/>
          <w:sz w:val="18"/>
        </w:rPr>
        <w:t>The study makes three limited contributions: a modular inference pipeline; a transparent equal-weight and veto fusion rule; and a validation/test manifest design that preserves scenario and source-group relationships. It does not claim that model outputs are calibrated across modalities or that the veto improves detection rates.</w:t>
      </w:r>
    </w:p>
    <w:p>
      <w:pPr>
        <w:keepNext/>
        <w:spacing w:before="140" w:after="60"/>
      </w:pPr>
      <w:r>
        <w:rPr>
          <w:rFonts w:ascii="Times New Roman" w:hAnsi="Times New Roman"/>
          <w:b/>
          <w:sz w:val="20"/>
        </w:rPr>
        <w:t>II. RELATED WORK</w:t>
      </w:r>
    </w:p>
    <w:p>
      <w:pPr>
        <w:spacing w:line="240" w:lineRule="auto" w:after="80"/>
        <w:jc w:val="both"/>
      </w:pPr>
      <w:r>
        <w:rPr>
          <w:rFonts w:ascii="Times New Roman" w:hAnsi="Times New Roman"/>
          <w:sz w:val="18"/>
        </w:rPr>
        <w:t>DistilBERT applies knowledge distillation to produce a compact transformer for language tasks [1]. The project uses it for email sequence classification. ASVspoof 2021 defines challenge tracks and evaluation protocols for spoofed and deepfake speech [3]; MFCCs provide the audio model input representation [8]. FaceForensics++ provides manipulated facial videos and compression conditions for video-forgery research [4]. SynthGuard detects faces with MTCNN [6] and classifies face crops with EfficientNet-B0, an architecture designed around compound scaling [5]. These source works establish model and dataset context, not SynthGuard-specific performance.</w:t>
      </w:r>
    </w:p>
    <w:p>
      <w:pPr>
        <w:spacing w:line="240" w:lineRule="auto" w:after="80"/>
        <w:jc w:val="both"/>
      </w:pPr>
      <w:r>
        <w:rPr>
          <w:rFonts w:ascii="Times New Roman" w:hAnsi="Times New Roman"/>
          <w:sz w:val="18"/>
        </w:rPr>
        <w:t>Classifier combination offers a framework for aggregating outputs from distinct representations [7]. SynthGuard uses an uncalibrated normalized mean with a biometric override. This simpler rule is chosen for implementation transparency; its effectiveness must be tested against alternative rules on paired data.</w:t>
      </w:r>
    </w:p>
    <w:p>
      <w:pPr>
        <w:keepNext/>
        <w:spacing w:before="140" w:after="60"/>
      </w:pPr>
      <w:r>
        <w:rPr>
          <w:rFonts w:ascii="Times New Roman" w:hAnsi="Times New Roman"/>
          <w:b/>
          <w:sz w:val="20"/>
        </w:rPr>
        <w:t>III. SYSTEM AND METHODS</w:t>
      </w:r>
    </w:p>
    <w:p>
      <w:pPr>
        <w:spacing w:line="240" w:lineRule="auto" w:after="80"/>
        <w:jc w:val="both"/>
      </w:pPr>
      <w:r>
        <w:rPr>
          <w:rFonts w:ascii="Times New Roman" w:hAnsi="Times New Roman"/>
          <w:sz w:val="18"/>
        </w:rPr>
        <w:t>The email sensor tokenizes text to 256 tokens and returns the class-1 softmax score. The audio path resamples to 16 kHz, extracts 40 MFCC coefficients with a 2,048-sample FFT and 512-sample hop, and fixes the sequence to 300 frames. A three-stage CNN returns a sigmoid spoof score. The video path samples frames, detects faces with MTCNN, resizes crops to 224×224, scores them with EfficientNet-B0, and averages up to five predictions. A logit shift maps the configured raw calibration threshold to a calibrated score of 0.50.</w:t>
      </w:r>
    </w:p>
    <w:p>
      <w:pPr>
        <w:spacing w:line="240" w:lineRule="auto" w:after="80"/>
        <w:jc w:val="both"/>
      </w:pPr>
      <w:r>
        <w:rPr>
          <w:rFonts w:ascii="Times New Roman" w:hAnsi="Times New Roman"/>
          <w:sz w:val="18"/>
        </w:rPr>
        <w:t>For the available set M of sensors, the fusion score is F = Σ(i∈M) w_i s_i / Σ(i∈M) w_i, where each nominal weight w_i is 0.3333. If an audio or video score is at least 0.85, the veto branch returns max(s_i). The final label is threat when F ≥ 0.50. Missing sensors are excluded and the remaining weights are renormalized. The implementation is in the project fusion module [P2].</w:t>
      </w:r>
    </w:p>
    <w:p>
      <w:pPr>
        <w:spacing w:line="240" w:lineRule="auto" w:after="80"/>
        <w:jc w:val="both"/>
      </w:pPr>
      <w:r>
        <w:rPr>
          <w:rFonts w:ascii="Times New Roman" w:hAnsi="Times New Roman"/>
          <w:sz w:val="18"/>
        </w:rPr>
        <w:t>The email dataset notebook records a cleaned corpus of 17,538 examples and an 80/20 stratified split with 3,508 examples in test. The saved classification report records N=3,508 [P6, P7]. An archived confusion matrix records TN=2,172, FP=24, FN=22, TP=1,290, but those counts imply 98.69% accuracy, whereas the report headline states 98.80%. The current report treats this as unresolved. For the audio/video detectors, checkpoint artifacts and data sources are available, but no held-out metric outputs were found. No paired fusion result is reported.</w:t>
      </w:r>
    </w:p>
    <w:p>
      <w:pPr>
        <w:keepNext/>
        <w:spacing w:before="140" w:after="60"/>
      </w:pPr>
      <w:r>
        <w:rPr>
          <w:rFonts w:ascii="Times New Roman" w:hAnsi="Times New Roman"/>
          <w:b/>
          <w:sz w:val="20"/>
        </w:rPr>
        <w:t>IV. RESULTS AND ANALYSIS</w:t>
      </w:r>
    </w:p>
    <w:p>
      <w:pPr>
        <w:spacing w:line="240" w:lineRule="auto" w:after="80"/>
        <w:jc w:val="both"/>
      </w:pPr>
      <w:r>
        <w:rPr>
          <w:rFonts w:ascii="Times New Roman" w:hAnsi="Times New Roman"/>
          <w:sz w:val="18"/>
        </w:rPr>
        <w:t>The only saved aggregate test result is for the email classifier: 98.80% reported accuracy on 3,508 examples. The archived counts yield 98.69% accuracy, 1.09% false-positive rate, and 1.68% false-negative rate. Because the metric sources disagree, neither figure is presented as fully reconciled. The project lacks an output file containing sample-level predictions that would permit a decisive recomputation.</w:t>
      </w:r>
    </w:p>
    <w:p>
      <w:pPr>
        <w:spacing w:line="240" w:lineRule="auto" w:after="80"/>
        <w:jc w:val="both"/>
      </w:pPr>
      <w:r>
        <w:rPr>
          <w:rFonts w:ascii="Times New Roman" w:hAnsi="Times New Roman"/>
          <w:sz w:val="18"/>
        </w:rPr>
        <w:t>No audio EER or class-based confusion report, no video ROC/AUC or test confusion report, and no paired multimodal metrics file were found. The prior 99.1% full-fusion and related ablation percentages are not included as results because the repository identifies the former benchmark pipeline as unverified [P8]. The analytic examples in this report only demonstrate the fusion function’s arithmetic.</w:t>
      </w:r>
    </w:p>
    <w:p>
      <w:pPr>
        <w:keepNext/>
        <w:spacing w:before="140" w:after="60"/>
      </w:pPr>
      <w:r>
        <w:rPr>
          <w:rFonts w:ascii="Times New Roman" w:hAnsi="Times New Roman"/>
          <w:b/>
          <w:sz w:val="20"/>
        </w:rPr>
        <w:t>V. DISCUSSION AND LIMITATIONS</w:t>
      </w:r>
    </w:p>
    <w:p>
      <w:pPr>
        <w:spacing w:line="240" w:lineRule="auto" w:after="80"/>
        <w:jc w:val="both"/>
      </w:pPr>
      <w:r>
        <w:rPr>
          <w:rFonts w:ascii="Times New Roman" w:hAnsi="Times New Roman"/>
          <w:sz w:val="18"/>
        </w:rPr>
        <w:t>The prototype integrates three local inference paths and exposes modality status to the client. It supports partial evidence, but different sensor subsets have different score distributions and denominators. A normalized mean is not necessarily a calibrated posterior probability, so the 0.50 boundary is an operational rule. The biometric veto can dominate the aggregate and should be assessed for false alarms and missed attacks on independent, source-grouped cases.</w:t>
      </w:r>
    </w:p>
    <w:p>
      <w:pPr>
        <w:spacing w:line="240" w:lineRule="auto" w:after="80"/>
        <w:jc w:val="both"/>
      </w:pPr>
      <w:r>
        <w:rPr>
          <w:rFonts w:ascii="Times New Roman" w:hAnsi="Times New Roman"/>
          <w:sz w:val="18"/>
        </w:rPr>
        <w:t>The email benchmark uses a random stratified split from one public corpus; this does not establish temporal or organization-level generalization. For audio and video, current repository evidence does not document held-out performance. Training split lineage and a common paired BEC scenario set are incomplete. Results from source datasets cannot be transferred to this system. Deployment is local after dependencies and weights are installed, but the software configuration alone is not proof of a physically isolated or audited environment.</w:t>
      </w:r>
    </w:p>
    <w:p>
      <w:pPr>
        <w:keepNext/>
        <w:spacing w:before="140" w:after="60"/>
      </w:pPr>
      <w:r>
        <w:rPr>
          <w:rFonts w:ascii="Times New Roman" w:hAnsi="Times New Roman"/>
          <w:b/>
          <w:sz w:val="20"/>
        </w:rPr>
        <w:t>VI. CONCLUSION</w:t>
      </w:r>
    </w:p>
    <w:p>
      <w:pPr>
        <w:spacing w:line="240" w:lineRule="auto" w:after="80"/>
        <w:jc w:val="both"/>
      </w:pPr>
      <w:r>
        <w:rPr>
          <w:rFonts w:ascii="Times New Roman" w:hAnsi="Times New Roman"/>
          <w:sz w:val="18"/>
        </w:rPr>
        <w:t>SynthGuard demonstrates an implementable architecture for combining email, speech, and face-video scores in a local analyst workflow. The code provides a simple mean and a high-confidence audio/video veto, while the frontend exposes scores and forensic reports. Current evidence supports reporting the system design and one unreconciled email test result. It does not support a 99.1% multimodal accuracy claim. A complete evaluation should reproduce email predictions, report independent audio and video metrics, and compare all seven sensor subsets on a curated, held-out scenario manifest with confusion counts, coverage, confidence intervals, and checkpoint hashes.</w:t>
      </w:r>
    </w:p>
    <w:p>
      <w:pPr>
        <w:keepNext/>
        <w:spacing w:before="140" w:after="60"/>
      </w:pPr>
      <w:r>
        <w:rPr>
          <w:rFonts w:ascii="Times New Roman" w:hAnsi="Times New Roman"/>
          <w:b/>
          <w:sz w:val="20"/>
        </w:rPr>
        <w:t>REFERENCES</w:t>
      </w:r>
    </w:p>
    <w:p>
      <w:pPr>
        <w:spacing w:line="240" w:lineRule="auto" w:after="60"/>
        <w:jc w:val="both"/>
      </w:pPr>
      <w:r>
        <w:rPr>
          <w:rFonts w:ascii="Times New Roman" w:hAnsi="Times New Roman"/>
          <w:sz w:val="16"/>
        </w:rPr>
        <w:t>[1] V. Sanh, L. Debut, J. Chaumond, and T. Wolf, “DistilBERT, a distilled version of BERT: smaller, faster, cheaper and lighter,” arXiv:1910.01108, 2019.</w:t>
      </w:r>
    </w:p>
    <w:p>
      <w:pPr>
        <w:spacing w:line="240" w:lineRule="auto" w:after="60"/>
        <w:jc w:val="both"/>
      </w:pPr>
      <w:r>
        <w:rPr>
          <w:rFonts w:ascii="Times New Roman" w:hAnsi="Times New Roman"/>
          <w:sz w:val="16"/>
        </w:rPr>
        <w:t>[2] Subhajournal, “Phishing Email Dataset,” Kaggle. Available: https://www.kaggle.com/datasets/subhajournal/phishingemails.</w:t>
      </w:r>
    </w:p>
    <w:p>
      <w:pPr>
        <w:spacing w:line="240" w:lineRule="auto" w:after="60"/>
        <w:jc w:val="both"/>
      </w:pPr>
      <w:r>
        <w:rPr>
          <w:rFonts w:ascii="Times New Roman" w:hAnsi="Times New Roman"/>
          <w:sz w:val="16"/>
        </w:rPr>
        <w:t>[3] H. Delgado et al., “ASVspoof 2021: accelerating progress in spoofed and deepfake speech detection,” arXiv:2109.00537, 2021.</w:t>
      </w:r>
    </w:p>
    <w:p>
      <w:pPr>
        <w:spacing w:line="240" w:lineRule="auto" w:after="60"/>
        <w:jc w:val="both"/>
      </w:pPr>
      <w:r>
        <w:rPr>
          <w:rFonts w:ascii="Times New Roman" w:hAnsi="Times New Roman"/>
          <w:sz w:val="16"/>
        </w:rPr>
        <w:t>[4] A. Rössler et al., “FaceForensics++: Learning to Detect Manipulated Facial Images,” in Proc. IEEE/CVF ICCV, 2019, pp. 1–11.</w:t>
      </w:r>
    </w:p>
    <w:p>
      <w:pPr>
        <w:spacing w:line="240" w:lineRule="auto" w:after="60"/>
        <w:jc w:val="both"/>
      </w:pPr>
      <w:r>
        <w:rPr>
          <w:rFonts w:ascii="Times New Roman" w:hAnsi="Times New Roman"/>
          <w:sz w:val="16"/>
        </w:rPr>
        <w:t>[5] M. Tan and Q. Le, “EfficientNet: Rethinking Model Scaling for Convolutional Neural Networks,” in Proc. ICML, PMLR 97, 2019, pp. 6105–6114.</w:t>
      </w:r>
    </w:p>
    <w:p>
      <w:pPr>
        <w:spacing w:line="240" w:lineRule="auto" w:after="60"/>
        <w:jc w:val="both"/>
      </w:pPr>
      <w:r>
        <w:rPr>
          <w:rFonts w:ascii="Times New Roman" w:hAnsi="Times New Roman"/>
          <w:sz w:val="16"/>
        </w:rPr>
        <w:t>[6] K. Zhang, Z. Zhang, Z. Li, and Y. Qiao, “Joint Face Detection and Alignment Using Multitask Cascaded Convolutional Networks,” IEEE Signal Processing Letters, vol. 23, no. 10, pp. 1499–1503, 2016.</w:t>
      </w:r>
    </w:p>
    <w:p>
      <w:pPr>
        <w:spacing w:line="240" w:lineRule="auto" w:after="60"/>
        <w:jc w:val="both"/>
      </w:pPr>
      <w:r>
        <w:rPr>
          <w:rFonts w:ascii="Times New Roman" w:hAnsi="Times New Roman"/>
          <w:sz w:val="16"/>
        </w:rPr>
        <w:t>[7] J. Kittler, M. Hatef, R. P. W. Duin, and J. Matas, “On Combining Classifiers,” IEEE Trans. Pattern Analysis and Machine Intelligence, vol. 20, no. 3, pp. 226–239, 1998.</w:t>
      </w:r>
    </w:p>
    <w:p>
      <w:pPr>
        <w:spacing w:line="240" w:lineRule="auto" w:after="60"/>
        <w:jc w:val="both"/>
      </w:pPr>
      <w:r>
        <w:rPr>
          <w:rFonts w:ascii="Times New Roman" w:hAnsi="Times New Roman"/>
          <w:sz w:val="16"/>
        </w:rPr>
        <w:t>[8] S. B. Davis and P. Mermelstein, “Comparison of parametric representations for monosyllabic word recognition in continuously spoken sentences,” IEEE Trans. Acoustics, Speech, and Signal Processing, vol. 28, no. 4, pp. 357–366, 1980.</w:t>
      </w:r>
    </w:p>
    <w:p>
      <w:pPr>
        <w:spacing w:line="240" w:lineRule="auto" w:after="60"/>
        <w:jc w:val="both"/>
      </w:pPr>
      <w:r>
        <w:rPr>
          <w:rFonts w:ascii="Times New Roman" w:hAnsi="Times New Roman"/>
          <w:sz w:val="16"/>
        </w:rPr>
        <w:t>[P1] SynthGuard project, backend/main.py, local FastAPI inference pipeline and request handling, project repository, 2026.</w:t>
      </w:r>
    </w:p>
    <w:p>
      <w:pPr>
        <w:spacing w:line="240" w:lineRule="auto" w:after="60"/>
        <w:jc w:val="both"/>
      </w:pPr>
      <w:r>
        <w:rPr>
          <w:rFonts w:ascii="Times New Roman" w:hAnsi="Times New Roman"/>
          <w:sz w:val="16"/>
        </w:rPr>
        <w:t>[P2] SynthGuard project, src/fusion.py, score aggregation and biometric veto implementation, project repository, 2026.</w:t>
      </w:r>
    </w:p>
    <w:p>
      <w:pPr>
        <w:spacing w:line="240" w:lineRule="auto" w:after="60"/>
        <w:jc w:val="both"/>
      </w:pPr>
      <w:r>
        <w:rPr>
          <w:rFonts w:ascii="Times New Roman" w:hAnsi="Times New Roman"/>
          <w:sz w:val="16"/>
        </w:rPr>
        <w:t>[P3] SynthGuard project, scripts/run_ablation_study.py and docs/ablation_manifest.md, reproducible paired-scenario benchmark contract, project repository, 2026.</w:t>
      </w:r>
    </w:p>
    <w:p>
      <w:pPr>
        <w:spacing w:line="240" w:lineRule="auto" w:after="60"/>
        <w:jc w:val="both"/>
      </w:pPr>
      <w:r>
        <w:rPr>
          <w:rFonts w:ascii="Times New Roman" w:hAnsi="Times New Roman"/>
          <w:sz w:val="16"/>
        </w:rPr>
        <w:t>[P4] SynthGuard project, docker-compose.yml, backend/Dockerfile, frontend-react/Dockerfile, and docs/docker_deployment.md, local deployment configuration, project repository, 2026.</w:t>
      </w:r>
    </w:p>
    <w:p>
      <w:pPr>
        <w:spacing w:line="240" w:lineRule="auto" w:after="60"/>
        <w:jc w:val="both"/>
      </w:pPr>
      <w:r>
        <w:rPr>
          <w:rFonts w:ascii="Times New Roman" w:hAnsi="Times New Roman"/>
          <w:sz w:val="16"/>
        </w:rPr>
        <w:t>[P5] SynthGuard project, frontend-react/src/lib/reports.ts and frontend-react/src/App.tsx, browser-side report generation and history, project repository, 2026.</w:t>
      </w:r>
    </w:p>
    <w:p>
      <w:pPr>
        <w:spacing w:line="240" w:lineRule="auto" w:after="60"/>
        <w:jc w:val="both"/>
      </w:pPr>
      <w:r>
        <w:rPr>
          <w:rFonts w:ascii="Times New Roman" w:hAnsi="Times New Roman"/>
          <w:sz w:val="16"/>
        </w:rPr>
        <w:t>[P6] SynthGuard project, outputs/reports/classification_report.txt, saved email classification summary, project repository, accessed 18 October 2026.</w:t>
      </w:r>
    </w:p>
    <w:p>
      <w:pPr>
        <w:spacing w:line="240" w:lineRule="auto" w:after="60"/>
        <w:jc w:val="both"/>
      </w:pPr>
      <w:r>
        <w:rPr>
          <w:rFonts w:ascii="Times New Roman" w:hAnsi="Times New Roman"/>
          <w:sz w:val="16"/>
        </w:rPr>
        <w:t>[P7] SynthGuard project, notebooks/01_phishing_email_classifier.ipynb, email dataset cleaning and stratified split, project repository, 2026.</w:t>
      </w:r>
    </w:p>
    <w:p>
      <w:pPr>
        <w:spacing w:line="240" w:lineRule="auto" w:after="60"/>
        <w:jc w:val="both"/>
      </w:pPr>
      <w:r>
        <w:rPr>
          <w:rFonts w:ascii="Times New Roman" w:hAnsi="Times New Roman"/>
          <w:sz w:val="16"/>
        </w:rPr>
        <w:t>[P8] SynthGuard project, outputs/reports/README.md, evaluation-output status and warning about historical ablation values, project repository, 2026.</w:t>
      </w:r>
    </w:p>
    <w:p>
      <w:pPr>
        <w:sectPr>
          <w:type w:val="continuous"/>
          <w:pgSz w:w="11909" w:h="16834"/>
          <w:pgMar w:top="1296" w:right="1296" w:bottom="1181" w:left="1296" w:header="547" w:footer="504" w:gutter="0"/>
          <w:cols w:space="420" w:num="2"/>
          <w:docGrid w:linePitch="360"/>
        </w:sectPr>
      </w:pPr>
    </w:p>
    <w:p>
      <w:pPr>
        <w:keepNext/>
        <w:pageBreakBefore/>
        <w:spacing w:after="240"/>
      </w:pPr>
      <w:r>
        <w:rPr>
          <w:rFonts w:ascii="Times New Roman" w:hAnsi="Times New Roman"/>
          <w:b/>
          <w:color w:val="102C43"/>
          <w:sz w:val="30"/>
        </w:rPr>
        <w:t>CHAPTER 12  PLAGIARISM AND SIMILARITY REPORT</w:t>
      </w:r>
    </w:p>
    <w:p>
      <w:pPr>
        <w:pStyle w:val="Heading2"/>
      </w:pPr>
      <w:r>
        <w:t>12.1 Purpose</w:t>
      </w:r>
    </w:p>
    <w:p>
      <w:r>
        <w:rPr>
          <w:i w:val="0"/>
        </w:rPr>
        <w:t>A similarity review should be run on the final text of this report using the checker required by the college. Similarity scores depend on the tool, indexed sources, exclusions, and report settings. A score alone does not determine whether writing is properly attributed.</w:t>
      </w:r>
    </w:p>
    <w:p>
      <w:pPr>
        <w:pStyle w:val="Heading2"/>
      </w:pPr>
      <w:r>
        <w:t>12.2 Checker and Result</w:t>
      </w:r>
    </w:p>
    <w:tbl>
      <w:tblPr>
        <w:tblW w:type="auto" w:w="0"/>
        <w:jc w:val="center"/>
        <w:tblLayout w:type="fixed"/>
        <w:tblLook w:firstColumn="1" w:firstRow="1" w:lastColumn="0" w:lastRow="0" w:noHBand="0" w:noVBand="1" w:val="04A0"/>
        <w:tblBorders>
          <w:top w:val="single" w:sz="5" w:space="0" w:color="9BAABA"/>
          <w:left w:val="single" w:sz="5" w:space="0" w:color="9BAABA"/>
          <w:bottom w:val="single" w:sz="5" w:space="0" w:color="9BAABA"/>
          <w:right w:val="single" w:sz="5" w:space="0" w:color="9BAABA"/>
          <w:insideH w:val="single" w:sz="5" w:space="0" w:color="9BAABA"/>
          <w:insideV w:val="single" w:sz="5" w:space="0" w:color="9BAABA"/>
        </w:tblBorders>
      </w:tblPr>
      <w:tblGrid>
        <w:gridCol w:w="3600"/>
        <w:gridCol w:w="5472"/>
      </w:tblGrid>
      <w:tr>
        <w:trPr>
          <w:tblHeader w:val="true"/>
        </w:trPr>
        <w:tc>
          <w:tcPr>
            <w:tcW w:type="dxa" w:w="4658"/>
            <w:vAlign w:val="center"/>
            <w:tcMar>
              <w:top w:w="80" w:type="dxa"/>
              <w:start w:w="95" w:type="dxa"/>
              <w:bottom w:w="80" w:type="dxa"/>
              <w:end w:w="95" w:type="dxa"/>
            </w:tcMar>
            <w:shd w:fill="18364F"/>
          </w:tcPr>
          <w:p>
            <w:pPr>
              <w:pStyle w:val="SmallTable"/>
              <w:jc w:val="left"/>
            </w:pPr>
            <w:r/>
            <w:r>
              <w:rPr>
                <w:rFonts w:ascii="Times New Roman" w:hAnsi="Times New Roman"/>
                <w:b/>
                <w:color w:val="FFFFFF"/>
                <w:sz w:val="18"/>
              </w:rPr>
              <w:t>Required field</w:t>
            </w:r>
          </w:p>
        </w:tc>
        <w:tc>
          <w:tcPr>
            <w:tcW w:type="dxa" w:w="4658"/>
            <w:vAlign w:val="center"/>
            <w:tcMar>
              <w:top w:w="80" w:type="dxa"/>
              <w:start w:w="95" w:type="dxa"/>
              <w:bottom w:w="80" w:type="dxa"/>
              <w:end w:w="95" w:type="dxa"/>
            </w:tcMar>
            <w:shd w:fill="18364F"/>
          </w:tcPr>
          <w:p>
            <w:pPr>
              <w:pStyle w:val="SmallTable"/>
              <w:jc w:val="left"/>
            </w:pPr>
            <w:r/>
            <w:r>
              <w:rPr>
                <w:rFonts w:ascii="Times New Roman" w:hAnsi="Times New Roman"/>
                <w:b/>
                <w:color w:val="FFFFFF"/>
                <w:sz w:val="18"/>
              </w:rPr>
              <w:t>Status for this report</w:t>
            </w:r>
          </w:p>
        </w:tc>
      </w:tr>
      <w:tr>
        <w:tc>
          <w:tcPr>
            <w:tcW w:type="dxa" w:w="3600"/>
            <w:vAlign w:val="center"/>
            <w:tcMar>
              <w:top w:w="80" w:type="dxa"/>
              <w:start w:w="95" w:type="dxa"/>
              <w:bottom w:w="80" w:type="dxa"/>
              <w:end w:w="95" w:type="dxa"/>
            </w:tcMar>
          </w:tcPr>
          <w:p>
            <w:pPr>
              <w:pStyle w:val="SmallTable"/>
              <w:jc w:val="left"/>
            </w:pPr>
            <w:r/>
            <w:r>
              <w:rPr>
                <w:rFonts w:ascii="Times New Roman" w:hAnsi="Times New Roman"/>
                <w:b w:val="0"/>
                <w:sz w:val="18"/>
              </w:rPr>
              <w:t>Similarity-checking tool</w:t>
            </w:r>
          </w:p>
        </w:tc>
        <w:tc>
          <w:tcPr>
            <w:tcW w:type="dxa" w:w="5472"/>
            <w:vAlign w:val="center"/>
            <w:tcMar>
              <w:top w:w="80" w:type="dxa"/>
              <w:start w:w="95" w:type="dxa"/>
              <w:bottom w:w="80" w:type="dxa"/>
              <w:end w:w="95" w:type="dxa"/>
            </w:tcMar>
          </w:tcPr>
          <w:p>
            <w:pPr>
              <w:pStyle w:val="SmallTable"/>
              <w:jc w:val="left"/>
            </w:pPr>
            <w:r/>
            <w:r>
              <w:rPr>
                <w:rFonts w:ascii="Times New Roman" w:hAnsi="Times New Roman"/>
                <w:b w:val="0"/>
                <w:sz w:val="18"/>
              </w:rPr>
              <w:t>Not provided</w:t>
            </w:r>
          </w:p>
        </w:tc>
      </w:tr>
      <w:tr>
        <w:tc>
          <w:tcPr>
            <w:tcW w:type="dxa" w:w="3600"/>
            <w:vAlign w:val="center"/>
            <w:tcMar>
              <w:top w:w="80" w:type="dxa"/>
              <w:start w:w="95" w:type="dxa"/>
              <w:bottom w:w="80" w:type="dxa"/>
              <w:end w:w="95" w:type="dxa"/>
            </w:tcMar>
            <w:shd w:fill="F1F5F8"/>
          </w:tcPr>
          <w:p>
            <w:pPr>
              <w:pStyle w:val="SmallTable"/>
              <w:jc w:val="left"/>
            </w:pPr>
            <w:r/>
            <w:r>
              <w:rPr>
                <w:rFonts w:ascii="Times New Roman" w:hAnsi="Times New Roman"/>
                <w:b w:val="0"/>
                <w:sz w:val="18"/>
              </w:rPr>
              <w:t>Date and time of check</w:t>
            </w:r>
          </w:p>
        </w:tc>
        <w:tc>
          <w:tcPr>
            <w:tcW w:type="dxa" w:w="5472"/>
            <w:vAlign w:val="center"/>
            <w:tcMar>
              <w:top w:w="80" w:type="dxa"/>
              <w:start w:w="95" w:type="dxa"/>
              <w:bottom w:w="80" w:type="dxa"/>
              <w:end w:w="95" w:type="dxa"/>
            </w:tcMar>
            <w:shd w:fill="F1F5F8"/>
          </w:tcPr>
          <w:p>
            <w:pPr>
              <w:pStyle w:val="SmallTable"/>
              <w:jc w:val="left"/>
            </w:pPr>
            <w:r/>
            <w:r>
              <w:rPr>
                <w:rFonts w:ascii="Times New Roman" w:hAnsi="Times New Roman"/>
                <w:b w:val="0"/>
                <w:sz w:val="18"/>
              </w:rPr>
              <w:t>Pending</w:t>
            </w:r>
          </w:p>
        </w:tc>
      </w:tr>
      <w:tr>
        <w:tc>
          <w:tcPr>
            <w:tcW w:type="dxa" w:w="3600"/>
            <w:vAlign w:val="center"/>
            <w:tcMar>
              <w:top w:w="80" w:type="dxa"/>
              <w:start w:w="95" w:type="dxa"/>
              <w:bottom w:w="80" w:type="dxa"/>
              <w:end w:w="95" w:type="dxa"/>
            </w:tcMar>
          </w:tcPr>
          <w:p>
            <w:pPr>
              <w:pStyle w:val="SmallTable"/>
              <w:jc w:val="left"/>
            </w:pPr>
            <w:r/>
            <w:r>
              <w:rPr>
                <w:rFonts w:ascii="Times New Roman" w:hAnsi="Times New Roman"/>
                <w:b w:val="0"/>
                <w:sz w:val="18"/>
              </w:rPr>
              <w:t>Report identifier or link</w:t>
            </w:r>
          </w:p>
        </w:tc>
        <w:tc>
          <w:tcPr>
            <w:tcW w:type="dxa" w:w="5472"/>
            <w:vAlign w:val="center"/>
            <w:tcMar>
              <w:top w:w="80" w:type="dxa"/>
              <w:start w:w="95" w:type="dxa"/>
              <w:bottom w:w="80" w:type="dxa"/>
              <w:end w:w="95" w:type="dxa"/>
            </w:tcMar>
          </w:tcPr>
          <w:p>
            <w:pPr>
              <w:pStyle w:val="SmallTable"/>
              <w:jc w:val="left"/>
            </w:pPr>
            <w:r/>
            <w:r>
              <w:rPr>
                <w:rFonts w:ascii="Times New Roman" w:hAnsi="Times New Roman"/>
                <w:b w:val="0"/>
                <w:sz w:val="18"/>
              </w:rPr>
              <w:t>Pending</w:t>
            </w:r>
          </w:p>
        </w:tc>
      </w:tr>
      <w:tr>
        <w:tc>
          <w:tcPr>
            <w:tcW w:type="dxa" w:w="3600"/>
            <w:vAlign w:val="center"/>
            <w:tcMar>
              <w:top w:w="80" w:type="dxa"/>
              <w:start w:w="95" w:type="dxa"/>
              <w:bottom w:w="80" w:type="dxa"/>
              <w:end w:w="95" w:type="dxa"/>
            </w:tcMar>
            <w:shd w:fill="F1F5F8"/>
          </w:tcPr>
          <w:p>
            <w:pPr>
              <w:pStyle w:val="SmallTable"/>
              <w:jc w:val="left"/>
            </w:pPr>
            <w:r/>
            <w:r>
              <w:rPr>
                <w:rFonts w:ascii="Times New Roman" w:hAnsi="Times New Roman"/>
                <w:b w:val="0"/>
                <w:sz w:val="18"/>
              </w:rPr>
              <w:t>Overall similarity / matched text</w:t>
            </w:r>
          </w:p>
        </w:tc>
        <w:tc>
          <w:tcPr>
            <w:tcW w:type="dxa" w:w="5472"/>
            <w:vAlign w:val="center"/>
            <w:tcMar>
              <w:top w:w="80" w:type="dxa"/>
              <w:start w:w="95" w:type="dxa"/>
              <w:bottom w:w="80" w:type="dxa"/>
              <w:end w:w="95" w:type="dxa"/>
            </w:tcMar>
            <w:shd w:fill="F1F5F8"/>
          </w:tcPr>
          <w:p>
            <w:pPr>
              <w:pStyle w:val="SmallTable"/>
              <w:jc w:val="left"/>
            </w:pPr>
            <w:r/>
            <w:r>
              <w:rPr>
                <w:rFonts w:ascii="Times New Roman" w:hAnsi="Times New Roman"/>
                <w:b w:val="0"/>
                <w:sz w:val="18"/>
              </w:rPr>
              <w:t>Pending actual checker output</w:t>
            </w:r>
          </w:p>
        </w:tc>
      </w:tr>
      <w:tr>
        <w:tc>
          <w:tcPr>
            <w:tcW w:type="dxa" w:w="3600"/>
            <w:vAlign w:val="center"/>
            <w:tcMar>
              <w:top w:w="80" w:type="dxa"/>
              <w:start w:w="95" w:type="dxa"/>
              <w:bottom w:w="80" w:type="dxa"/>
              <w:end w:w="95" w:type="dxa"/>
            </w:tcMar>
          </w:tcPr>
          <w:p>
            <w:pPr>
              <w:pStyle w:val="SmallTable"/>
              <w:jc w:val="left"/>
            </w:pPr>
            <w:r/>
            <w:r>
              <w:rPr>
                <w:rFonts w:ascii="Times New Roman" w:hAnsi="Times New Roman"/>
                <w:b w:val="0"/>
                <w:sz w:val="18"/>
              </w:rPr>
              <w:t>Excluded bibliography, quotations, or repository sources</w:t>
            </w:r>
          </w:p>
        </w:tc>
        <w:tc>
          <w:tcPr>
            <w:tcW w:type="dxa" w:w="5472"/>
            <w:vAlign w:val="center"/>
            <w:tcMar>
              <w:top w:w="80" w:type="dxa"/>
              <w:start w:w="95" w:type="dxa"/>
              <w:bottom w:w="80" w:type="dxa"/>
              <w:end w:w="95" w:type="dxa"/>
            </w:tcMar>
          </w:tcPr>
          <w:p>
            <w:pPr>
              <w:pStyle w:val="SmallTable"/>
              <w:jc w:val="left"/>
            </w:pPr>
            <w:r/>
            <w:r>
              <w:rPr>
                <w:rFonts w:ascii="Times New Roman" w:hAnsi="Times New Roman"/>
                <w:b w:val="0"/>
                <w:sz w:val="18"/>
              </w:rPr>
              <w:t>Pending checker settings</w:t>
            </w:r>
          </w:p>
        </w:tc>
      </w:tr>
      <w:tr>
        <w:tc>
          <w:tcPr>
            <w:tcW w:type="dxa" w:w="3600"/>
            <w:vAlign w:val="center"/>
            <w:tcMar>
              <w:top w:w="80" w:type="dxa"/>
              <w:start w:w="95" w:type="dxa"/>
              <w:bottom w:w="80" w:type="dxa"/>
              <w:end w:w="95" w:type="dxa"/>
            </w:tcMar>
            <w:shd w:fill="F1F5F8"/>
          </w:tcPr>
          <w:p>
            <w:pPr>
              <w:pStyle w:val="SmallTable"/>
              <w:jc w:val="left"/>
            </w:pPr>
            <w:r/>
            <w:r>
              <w:rPr>
                <w:rFonts w:ascii="Times New Roman" w:hAnsi="Times New Roman"/>
                <w:b w:val="0"/>
                <w:sz w:val="18"/>
              </w:rPr>
              <w:t>Attached evidence</w:t>
            </w:r>
          </w:p>
        </w:tc>
        <w:tc>
          <w:tcPr>
            <w:tcW w:type="dxa" w:w="5472"/>
            <w:vAlign w:val="center"/>
            <w:tcMar>
              <w:top w:w="80" w:type="dxa"/>
              <w:start w:w="95" w:type="dxa"/>
              <w:bottom w:w="80" w:type="dxa"/>
              <w:end w:w="95" w:type="dxa"/>
            </w:tcMar>
            <w:shd w:fill="F1F5F8"/>
          </w:tcPr>
          <w:p>
            <w:pPr>
              <w:pStyle w:val="SmallTable"/>
              <w:jc w:val="left"/>
            </w:pPr>
            <w:r/>
            <w:r>
              <w:rPr>
                <w:rFonts w:ascii="Times New Roman" w:hAnsi="Times New Roman"/>
                <w:b w:val="0"/>
                <w:sz w:val="18"/>
              </w:rPr>
              <w:t>Insert the exported similarity report after checking the final document</w:t>
            </w:r>
          </w:p>
        </w:tc>
      </w:tr>
    </w:tbl>
    <w:p>
      <w:pPr>
        <w:spacing w:after="0"/>
      </w:pPr>
    </w:p>
    <w:p>
      <w:r>
        <w:rPr>
          <w:i w:val="0"/>
        </w:rPr>
        <w:t>No SynthGuard similarity percentage is asserted in this draft. The chapter must be completed with the actual report generated from the final version. Do not use the sample projects’ checker screenshots, links, dates, or percentages as SynthGuard results.</w:t>
      </w:r>
    </w:p>
    <w:p>
      <w:pPr>
        <w:pStyle w:val="Heading2"/>
      </w:pPr>
      <w:r>
        <w:t>12.3 Review Procedure</w:t>
      </w:r>
    </w:p>
    <w:p>
      <w:pPr>
        <w:spacing w:after="60"/>
        <w:ind w:left="432" w:hanging="216"/>
      </w:pPr>
      <w:r>
        <w:t>1. Submit the final report using the institution-approved similarity checker.</w:t>
      </w:r>
    </w:p>
    <w:p>
      <w:pPr>
        <w:spacing w:after="60"/>
        <w:ind w:left="432" w:hanging="216"/>
      </w:pPr>
      <w:r>
        <w:t>2. Save the complete report showing the document identity, check date, settings, and matched sources.</w:t>
      </w:r>
    </w:p>
    <w:p>
      <w:pPr>
        <w:spacing w:after="60"/>
        <w:ind w:left="432" w:hanging="216"/>
      </w:pPr>
      <w:r>
        <w:t>3. Review each matched passage and add or correct citations where required.</w:t>
      </w:r>
    </w:p>
    <w:p>
      <w:pPr>
        <w:spacing w:after="60"/>
        <w:ind w:left="432" w:hanging="216"/>
      </w:pPr>
      <w:r>
        <w:t>4. Replace this page with the actual report summary and attach the checker output as an appendix if required by the department.</w:t>
      </w:r>
    </w:p>
    <w:p>
      <w:pPr>
        <w:keepNext/>
        <w:pageBreakBefore/>
        <w:spacing w:after="240"/>
      </w:pPr>
      <w:r>
        <w:rPr>
          <w:rFonts w:ascii="Times New Roman" w:hAnsi="Times New Roman"/>
          <w:b/>
          <w:color w:val="102C43"/>
          <w:sz w:val="30"/>
        </w:rPr>
        <w:t>CHAPTER 13  CONCLUSION LIMITATIONS AND FUTURE SCOPE</w:t>
      </w:r>
    </w:p>
    <w:p>
      <w:pPr>
        <w:pStyle w:val="Heading2"/>
      </w:pPr>
      <w:r>
        <w:t>13.1 Conclusion</w:t>
      </w:r>
    </w:p>
    <w:p>
      <w:r>
        <w:rPr>
          <w:i w:val="0"/>
        </w:rPr>
        <w:t>SynthGuard integrates local text, audio, and video analysis in a single threat-investigation workflow. DistilBERT, an MFCC-based CNN, and an MTCNN/EfficientNet-B0 pipeline return separate scores. FastAPI standardizes requests and status; the React interface supports multimodal submission, report history, and local PDF export. A normalized equal-weight rule and an audio/video veto form the final score. These are implementation facts supported by the current codebase.</w:t>
      </w:r>
    </w:p>
    <w:p>
      <w:r>
        <w:rPr>
          <w:i w:val="0"/>
        </w:rPr>
        <w:t>The saved email report records 98.8% accuracy on 3,508 test samples, but archived confusion counts imply 98.69%, so the exact score remains unresolved. The repository does not include completed held-out metric outputs for audio, video, or multimodal fusion. Consequently, the report does not claim 99.1% fusion accuracy or sub-one-percent false-negative performance. The prototype’s main validated contribution at this stage is a functioning software architecture and a reproducibility plan for further testing.</w:t>
      </w:r>
    </w:p>
    <w:p>
      <w:pPr>
        <w:pStyle w:val="Heading2"/>
      </w:pPr>
      <w:r>
        <w:t>13.2 Limitations</w:t>
      </w:r>
    </w:p>
    <w:p>
      <w:pPr>
        <w:pStyle w:val="ListBullet"/>
        <w:spacing w:after="60"/>
        <w:ind w:left="432" w:hanging="216"/>
      </w:pPr>
      <w:r>
        <w:t>The email result lacks a prediction-level export and has a discrepancy between the saved headline accuracy and archived confusion counts.</w:t>
      </w:r>
    </w:p>
    <w:p>
      <w:pPr>
        <w:pStyle w:val="ListBullet"/>
        <w:spacing w:after="60"/>
        <w:ind w:left="432" w:hanging="216"/>
      </w:pPr>
      <w:r>
        <w:t>Audio and video performance summaries, split lineage, and threshold-selection artifacts are not present in the reviewed repository snapshot.</w:t>
      </w:r>
    </w:p>
    <w:p>
      <w:pPr>
        <w:pStyle w:val="ListBullet"/>
        <w:spacing w:after="60"/>
        <w:ind w:left="432" w:hanging="216"/>
      </w:pPr>
      <w:r>
        <w:t>No completed paired multimodal manifest or ablation output exists, so fusion gains are not empirically established.</w:t>
      </w:r>
    </w:p>
    <w:p>
      <w:pPr>
        <w:pStyle w:val="ListBullet"/>
        <w:spacing w:after="60"/>
        <w:ind w:left="432" w:hanging="216"/>
      </w:pPr>
      <w:r>
        <w:t>The email random split does not measure temporal or organization-level generalization; corpus labels and sources may include biases or duplicates after text normalization.</w:t>
      </w:r>
    </w:p>
    <w:p>
      <w:pPr>
        <w:pStyle w:val="ListBullet"/>
        <w:spacing w:after="60"/>
        <w:ind w:left="432" w:hanging="216"/>
      </w:pPr>
      <w:r>
        <w:t>The three model scores are combined as if they were comparable probabilities, although calibration across sensors has not been documented.</w:t>
      </w:r>
    </w:p>
    <w:p>
      <w:pPr>
        <w:pStyle w:val="ListBullet"/>
        <w:spacing w:after="60"/>
        <w:ind w:left="432" w:hanging="216"/>
      </w:pPr>
      <w:r>
        <w:t>Video performance depends on face visibility, selected frames, compression, and manipulation types represented by training data.</w:t>
      </w:r>
    </w:p>
    <w:p>
      <w:pPr>
        <w:pStyle w:val="ListBullet"/>
        <w:spacing w:after="60"/>
        <w:ind w:left="432" w:hanging="216"/>
      </w:pPr>
      <w:r>
        <w:t>The Docker configuration supports local inference after setup but does not alone certify a physically air-gapped environment or an external security audit.</w:t>
      </w:r>
    </w:p>
    <w:p>
      <w:pPr>
        <w:pStyle w:val="ListBullet"/>
        <w:spacing w:after="60"/>
        <w:ind w:left="432" w:hanging="216"/>
      </w:pPr>
      <w:r>
        <w:t>Browser localStorage is local to a browser profile and can be cleared; it is not a server-backed audit database.</w:t>
      </w:r>
    </w:p>
    <w:p>
      <w:pPr>
        <w:pStyle w:val="Heading2"/>
      </w:pPr>
      <w:r>
        <w:t>13.3 Future Scope</w:t>
      </w:r>
    </w:p>
    <w:p>
      <w:pPr>
        <w:spacing w:after="60"/>
        <w:ind w:left="432" w:hanging="216"/>
      </w:pPr>
      <w:r>
        <w:t>1. Recompute the email test predictions from the saved checkpoint and publish the per-example labels, confusion matrix, exact metrics, and checkpoint hash.</w:t>
      </w:r>
    </w:p>
    <w:p>
      <w:pPr>
        <w:spacing w:after="60"/>
        <w:ind w:left="432" w:hanging="216"/>
      </w:pPr>
      <w:r>
        <w:t>2. Record the ASVspoof and FaceForensics++ split manifests, source groups, training logs, calibration procedure, and held-out predictions for the current audio and video checkpoints.</w:t>
      </w:r>
    </w:p>
    <w:p>
      <w:pPr>
        <w:spacing w:after="60"/>
        <w:ind w:left="432" w:hanging="216"/>
      </w:pPr>
      <w:r>
        <w:t>3. Construct and independently label a sufficiently large scenario-level paired test set. Keep actors, campaigns, source videos, and related records within a single split.</w:t>
      </w:r>
    </w:p>
    <w:p>
      <w:pPr>
        <w:spacing w:after="60"/>
        <w:ind w:left="432" w:hanging="216"/>
      </w:pPr>
      <w:r>
        <w:t>4. Evaluate all seven non-empty sensor subsets with the same scenario labels and report coverage, TP/TN/FP/FN, precision, recall, FPR, FNR, confidence intervals, and runtime.</w:t>
      </w:r>
    </w:p>
    <w:p>
      <w:pPr>
        <w:spacing w:after="60"/>
        <w:ind w:left="432" w:hanging="216"/>
      </w:pPr>
      <w:r>
        <w:t>5. Compare equal-weight fusion and the veto rule against unimodal and alternative fusion baselines without selecting thresholds on test data.</w:t>
      </w:r>
    </w:p>
    <w:p>
      <w:pPr>
        <w:spacing w:after="60"/>
        <w:ind w:left="432" w:hanging="216"/>
      </w:pPr>
      <w:r>
        <w:t>6. Assess sensor-score calibration, missing-modality behavior, and robustness under compression, noise, domain shift, and benign high-risk language.</w:t>
      </w:r>
    </w:p>
    <w:p>
      <w:pPr>
        <w:spacing w:after="60"/>
        <w:ind w:left="432" w:hanging="216"/>
      </w:pPr>
      <w:r>
        <w:t>7. Complete the approved similarity review and update certificate, guide, and submission details before final academic submission.</w:t>
      </w:r>
    </w:p>
    <w:p>
      <w:pPr>
        <w:keepNext/>
        <w:pageBreakBefore/>
        <w:spacing w:after="240"/>
      </w:pPr>
      <w:r>
        <w:rPr>
          <w:rFonts w:ascii="Times New Roman" w:hAnsi="Times New Roman"/>
          <w:b/>
          <w:color w:val="102C43"/>
          <w:sz w:val="30"/>
        </w:rPr>
        <w:t>CHAPTER 14  REFERENCES AND BIBLIOGRAPHY</w:t>
      </w:r>
    </w:p>
    <w:p>
      <w:pPr>
        <w:spacing w:after="100"/>
        <w:ind w:left="403" w:hanging="403"/>
        <w:jc w:val="both"/>
      </w:pPr>
      <w:r>
        <w:t>[1] V. Sanh, L. Debut, J. Chaumond, and T. Wolf, “DistilBERT, a distilled version of BERT: smaller, faster, cheaper and lighter,” arXiv:1910.01108, 2019. https://arxiv.org/abs/1910.01108.</w:t>
      </w:r>
    </w:p>
    <w:p>
      <w:pPr>
        <w:spacing w:after="100"/>
        <w:ind w:left="403" w:hanging="403"/>
        <w:jc w:val="both"/>
      </w:pPr>
      <w:r>
        <w:t>[2] Subhajournal, “Phishing Email Dataset,” Kaggle. https://www.kaggle.com/datasets/subhajournal/phishingemails.</w:t>
      </w:r>
    </w:p>
    <w:p>
      <w:pPr>
        <w:spacing w:after="100"/>
        <w:ind w:left="403" w:hanging="403"/>
        <w:jc w:val="both"/>
      </w:pPr>
      <w:r>
        <w:t>[3] H. Delgado, N. Evans, T. Kinnunen, K. A. Lee, X. Liu, A. Nautsch, J. Patino, M. Sahidullah, M. Todisco, X. Wang, and J. Yamagishi, “ASVspoof 2021: accelerating progress in spoofed and deepfake speech detection,” arXiv:2109.00537, 2021. https://arxiv.org/abs/2109.00537.</w:t>
      </w:r>
    </w:p>
    <w:p>
      <w:pPr>
        <w:spacing w:after="100"/>
        <w:ind w:left="403" w:hanging="403"/>
        <w:jc w:val="both"/>
      </w:pPr>
      <w:r>
        <w:t>[4] A. Rössler et al., “FaceForensics++: Learning to Detect Manipulated Facial Images,” in Proc. IEEE/CVF International Conference on Computer Vision (ICCV), 2019. https://openaccess.thecvf.com/content_ICCV_2019/html/Rossler_FaceForensics_Learning_to_Detect_Manipulated_Facial_Images_ICCV_2019_paper.html.</w:t>
      </w:r>
    </w:p>
    <w:p>
      <w:pPr>
        <w:spacing w:after="100"/>
        <w:ind w:left="403" w:hanging="403"/>
        <w:jc w:val="both"/>
      </w:pPr>
      <w:r>
        <w:t>[5] M. Tan and Q. V. Le, “EfficientNet: Rethinking Model Scaling for Convolutional Neural Networks,” in Proc. 36th International Conference on Machine Learning, PMLR, vol. 97, pp. 6105–6114, 2019. https://proceedings.mlr.press/v97/tan19a.html.</w:t>
      </w:r>
    </w:p>
    <w:p>
      <w:pPr>
        <w:spacing w:after="100"/>
        <w:ind w:left="403" w:hanging="403"/>
        <w:jc w:val="both"/>
      </w:pPr>
      <w:r>
        <w:t>[6] K. Zhang, Z. Zhang, Z. Li, and Y. Qiao, “Joint Face Detection and Alignment Using Multitask Cascaded Convolutional Networks,” IEEE Signal Processing Letters, vol. 23, no. 10, pp. 1499–1503, 2016. doi:10.1109/LSP.2016.2603342.</w:t>
      </w:r>
    </w:p>
    <w:p>
      <w:pPr>
        <w:spacing w:after="100"/>
        <w:ind w:left="403" w:hanging="403"/>
        <w:jc w:val="both"/>
      </w:pPr>
      <w:r>
        <w:t>[7] J. Kittler, M. Hatef, R. P. W. Duin, and J. Matas, “On Combining Classifiers,” IEEE Transactions on Pattern Analysis and Machine Intelligence, vol. 20, no. 3, pp. 226–239, 1998.</w:t>
      </w:r>
    </w:p>
    <w:p>
      <w:pPr>
        <w:spacing w:after="100"/>
        <w:ind w:left="403" w:hanging="403"/>
        <w:jc w:val="both"/>
      </w:pPr>
      <w:r>
        <w:t>[8] S. B. Davis and P. Mermelstein, “Comparison of parametric representations for monosyllabic word recognition in continuously spoken sentences,” IEEE Transactions on Acoustics, Speech, and Signal Processing, vol. 28, no. 4, pp. 357–366, 1980. doi:10.1109/TASSP.1980.1163420.</w:t>
      </w:r>
    </w:p>
    <w:p>
      <w:pPr>
        <w:spacing w:after="100"/>
        <w:ind w:left="403" w:hanging="403"/>
        <w:jc w:val="both"/>
      </w:pPr>
      <w:r>
        <w:t>[9] SynthGuard project repository, backend/main.py, local inference and API implementation, accessed 18 October 2026.</w:t>
      </w:r>
    </w:p>
    <w:p>
      <w:pPr>
        <w:spacing w:after="100"/>
        <w:ind w:left="403" w:hanging="403"/>
        <w:jc w:val="both"/>
      </w:pPr>
      <w:r>
        <w:t>[10] SynthGuard project repository, src/fusion.py, equal-weight score fusion and biometric veto, accessed 18 October 2026.</w:t>
      </w:r>
    </w:p>
    <w:p>
      <w:pPr>
        <w:spacing w:after="100"/>
        <w:ind w:left="403" w:hanging="403"/>
        <w:jc w:val="both"/>
      </w:pPr>
      <w:r>
        <w:t>[11] SynthGuard project repository, outputs/reports/classification_report.txt and notebooks/01_phishing_email_classifier.ipynb, email evaluation artifacts, accessed 18 October 2026.</w:t>
      </w:r>
    </w:p>
    <w:p>
      <w:pPr>
        <w:spacing w:after="100"/>
        <w:ind w:left="403" w:hanging="403"/>
        <w:jc w:val="both"/>
      </w:pPr>
      <w:r>
        <w:t>[12] SynthGuard project repository, scripts/run_ablation_study.py and docs/ablation_manifest.md, paired-scenario benchmark design, accessed 18 October 2026.</w:t>
      </w:r>
    </w:p>
    <w:p>
      <w:pPr>
        <w:spacing w:after="100"/>
        <w:ind w:left="403" w:hanging="403"/>
        <w:jc w:val="both"/>
      </w:pPr>
      <w:r>
        <w:t>[13] SynthGuard project repository, frontend-react/src/lib/reports.ts, client-side history and PDF report generation, accessed 18 October 2026.</w:t>
      </w:r>
    </w:p>
    <w:p>
      <w:pPr>
        <w:spacing w:after="100"/>
        <w:ind w:left="403" w:hanging="403"/>
        <w:jc w:val="both"/>
      </w:pPr>
      <w:r>
        <w:t>[14] SynthGuard project repository, docs/docker_deployment.md and docker-compose.yml, local container deployment configuration, accessed 18 October 2026.</w:t>
      </w:r>
    </w:p>
    <w:p>
      <w:pPr>
        <w:keepNext/>
        <w:pageBreakBefore/>
        <w:spacing w:after="240"/>
      </w:pPr>
      <w:r>
        <w:rPr>
          <w:rFonts w:ascii="Times New Roman" w:hAnsi="Times New Roman"/>
          <w:b/>
          <w:color w:val="102C43"/>
          <w:sz w:val="30"/>
        </w:rPr>
        <w:t>CHAPTER 15  APPENDICES</w:t>
      </w:r>
    </w:p>
    <w:p>
      <w:pPr>
        <w:pStyle w:val="Heading2"/>
      </w:pPr>
      <w:r>
        <w:t>Appendix A Dataset and Model Artifacts</w:t>
      </w:r>
    </w:p>
    <w:tbl>
      <w:tblPr>
        <w:tblW w:type="auto" w:w="0"/>
        <w:jc w:val="center"/>
        <w:tblLayout w:type="fixed"/>
        <w:tblLook w:firstColumn="1" w:firstRow="1" w:lastColumn="0" w:lastRow="0" w:noHBand="0" w:noVBand="1" w:val="04A0"/>
        <w:tblBorders>
          <w:top w:val="single" w:sz="5" w:space="0" w:color="9BAABA"/>
          <w:left w:val="single" w:sz="5" w:space="0" w:color="9BAABA"/>
          <w:bottom w:val="single" w:sz="5" w:space="0" w:color="9BAABA"/>
          <w:right w:val="single" w:sz="5" w:space="0" w:color="9BAABA"/>
          <w:insideH w:val="single" w:sz="5" w:space="0" w:color="9BAABA"/>
          <w:insideV w:val="single" w:sz="5" w:space="0" w:color="9BAABA"/>
        </w:tblBorders>
      </w:tblPr>
      <w:tblGrid>
        <w:gridCol w:w="2088"/>
        <w:gridCol w:w="3744"/>
        <w:gridCol w:w="3240"/>
      </w:tblGrid>
      <w:tr>
        <w:trPr>
          <w:tblHeader w:val="true"/>
        </w:trPr>
        <w:tc>
          <w:tcPr>
            <w:tcW w:type="dxa" w:w="3106"/>
            <w:vAlign w:val="center"/>
            <w:tcMar>
              <w:top w:w="80" w:type="dxa"/>
              <w:start w:w="95" w:type="dxa"/>
              <w:bottom w:w="80" w:type="dxa"/>
              <w:end w:w="95" w:type="dxa"/>
            </w:tcMar>
            <w:shd w:fill="18364F"/>
          </w:tcPr>
          <w:p>
            <w:pPr>
              <w:pStyle w:val="SmallTable"/>
              <w:jc w:val="left"/>
            </w:pPr>
            <w:r/>
            <w:r>
              <w:rPr>
                <w:rFonts w:ascii="Times New Roman" w:hAnsi="Times New Roman"/>
                <w:b/>
                <w:color w:val="FFFFFF"/>
                <w:sz w:val="16"/>
              </w:rPr>
              <w:t>Artifact</w:t>
            </w:r>
          </w:p>
        </w:tc>
        <w:tc>
          <w:tcPr>
            <w:tcW w:type="dxa" w:w="3106"/>
            <w:vAlign w:val="center"/>
            <w:tcMar>
              <w:top w:w="80" w:type="dxa"/>
              <w:start w:w="95" w:type="dxa"/>
              <w:bottom w:w="80" w:type="dxa"/>
              <w:end w:w="95" w:type="dxa"/>
            </w:tcMar>
            <w:shd w:fill="18364F"/>
          </w:tcPr>
          <w:p>
            <w:pPr>
              <w:pStyle w:val="SmallTable"/>
              <w:jc w:val="left"/>
            </w:pPr>
            <w:r/>
            <w:r>
              <w:rPr>
                <w:rFonts w:ascii="Times New Roman" w:hAnsi="Times New Roman"/>
                <w:b/>
                <w:color w:val="FFFFFF"/>
                <w:sz w:val="16"/>
              </w:rPr>
              <w:t>Project location</w:t>
            </w:r>
          </w:p>
        </w:tc>
        <w:tc>
          <w:tcPr>
            <w:tcW w:type="dxa" w:w="3106"/>
            <w:vAlign w:val="center"/>
            <w:tcMar>
              <w:top w:w="80" w:type="dxa"/>
              <w:start w:w="95" w:type="dxa"/>
              <w:bottom w:w="80" w:type="dxa"/>
              <w:end w:w="95" w:type="dxa"/>
            </w:tcMar>
            <w:shd w:fill="18364F"/>
          </w:tcPr>
          <w:p>
            <w:pPr>
              <w:pStyle w:val="SmallTable"/>
              <w:jc w:val="left"/>
            </w:pPr>
            <w:r/>
            <w:r>
              <w:rPr>
                <w:rFonts w:ascii="Times New Roman" w:hAnsi="Times New Roman"/>
                <w:b/>
                <w:color w:val="FFFFFF"/>
                <w:sz w:val="16"/>
              </w:rPr>
              <w:t>Role</w:t>
            </w:r>
          </w:p>
        </w:tc>
      </w:tr>
      <w:tr>
        <w:tc>
          <w:tcPr>
            <w:tcW w:type="dxa" w:w="2088"/>
            <w:vAlign w:val="center"/>
            <w:tcMar>
              <w:top w:w="80" w:type="dxa"/>
              <w:start w:w="95" w:type="dxa"/>
              <w:bottom w:w="80" w:type="dxa"/>
              <w:end w:w="95" w:type="dxa"/>
            </w:tcMar>
          </w:tcPr>
          <w:p>
            <w:pPr>
              <w:pStyle w:val="SmallTable"/>
              <w:jc w:val="left"/>
            </w:pPr>
            <w:r/>
            <w:r>
              <w:rPr>
                <w:rFonts w:ascii="Times New Roman" w:hAnsi="Times New Roman"/>
                <w:b w:val="0"/>
                <w:sz w:val="16"/>
              </w:rPr>
              <w:t>Email checkpoint</w:t>
            </w:r>
          </w:p>
        </w:tc>
        <w:tc>
          <w:tcPr>
            <w:tcW w:type="dxa" w:w="3744"/>
            <w:vAlign w:val="center"/>
            <w:tcMar>
              <w:top w:w="80" w:type="dxa"/>
              <w:start w:w="95" w:type="dxa"/>
              <w:bottom w:w="80" w:type="dxa"/>
              <w:end w:w="95" w:type="dxa"/>
            </w:tcMar>
          </w:tcPr>
          <w:p>
            <w:pPr>
              <w:pStyle w:val="SmallTable"/>
              <w:jc w:val="left"/>
            </w:pPr>
            <w:r/>
            <w:r>
              <w:rPr>
                <w:rFonts w:ascii="Times New Roman" w:hAnsi="Times New Roman"/>
                <w:b w:val="0"/>
                <w:sz w:val="16"/>
              </w:rPr>
              <w:t>models/final/phishing_email/</w:t>
            </w:r>
          </w:p>
        </w:tc>
        <w:tc>
          <w:tcPr>
            <w:tcW w:type="dxa" w:w="3240"/>
            <w:vAlign w:val="center"/>
            <w:tcMar>
              <w:top w:w="80" w:type="dxa"/>
              <w:start w:w="95" w:type="dxa"/>
              <w:bottom w:w="80" w:type="dxa"/>
              <w:end w:w="95" w:type="dxa"/>
            </w:tcMar>
          </w:tcPr>
          <w:p>
            <w:pPr>
              <w:pStyle w:val="SmallTable"/>
              <w:jc w:val="left"/>
            </w:pPr>
            <w:r/>
            <w:r>
              <w:rPr>
                <w:rFonts w:ascii="Times New Roman" w:hAnsi="Times New Roman"/>
                <w:b w:val="0"/>
                <w:sz w:val="16"/>
              </w:rPr>
              <w:t>DistilBERT model and tokenizer.</w:t>
            </w:r>
          </w:p>
        </w:tc>
      </w:tr>
      <w:tr>
        <w:tc>
          <w:tcPr>
            <w:tcW w:type="dxa" w:w="2088"/>
            <w:vAlign w:val="center"/>
            <w:tcMar>
              <w:top w:w="80" w:type="dxa"/>
              <w:start w:w="95" w:type="dxa"/>
              <w:bottom w:w="80" w:type="dxa"/>
              <w:end w:w="95" w:type="dxa"/>
            </w:tcMar>
            <w:shd w:fill="F1F5F8"/>
          </w:tcPr>
          <w:p>
            <w:pPr>
              <w:pStyle w:val="SmallTable"/>
              <w:jc w:val="left"/>
            </w:pPr>
            <w:r/>
            <w:r>
              <w:rPr>
                <w:rFonts w:ascii="Times New Roman" w:hAnsi="Times New Roman"/>
                <w:b w:val="0"/>
                <w:sz w:val="16"/>
              </w:rPr>
              <w:t>Audio checkpoint</w:t>
            </w:r>
          </w:p>
        </w:tc>
        <w:tc>
          <w:tcPr>
            <w:tcW w:type="dxa" w:w="3744"/>
            <w:vAlign w:val="center"/>
            <w:tcMar>
              <w:top w:w="80" w:type="dxa"/>
              <w:start w:w="95" w:type="dxa"/>
              <w:bottom w:w="80" w:type="dxa"/>
              <w:end w:w="95" w:type="dxa"/>
            </w:tcMar>
            <w:shd w:fill="F1F5F8"/>
          </w:tcPr>
          <w:p>
            <w:pPr>
              <w:pStyle w:val="SmallTable"/>
              <w:jc w:val="left"/>
            </w:pPr>
            <w:r/>
            <w:r>
              <w:rPr>
                <w:rFonts w:ascii="Times New Roman" w:hAnsi="Times New Roman"/>
                <w:b w:val="0"/>
                <w:sz w:val="16"/>
              </w:rPr>
              <w:t>models/final/audio_detector/audio_cnn_model.pth</w:t>
            </w:r>
          </w:p>
        </w:tc>
        <w:tc>
          <w:tcPr>
            <w:tcW w:type="dxa" w:w="3240"/>
            <w:vAlign w:val="center"/>
            <w:tcMar>
              <w:top w:w="80" w:type="dxa"/>
              <w:start w:w="95" w:type="dxa"/>
              <w:bottom w:w="80" w:type="dxa"/>
              <w:end w:w="95" w:type="dxa"/>
            </w:tcMar>
            <w:shd w:fill="F1F5F8"/>
          </w:tcPr>
          <w:p>
            <w:pPr>
              <w:pStyle w:val="SmallTable"/>
              <w:jc w:val="left"/>
            </w:pPr>
            <w:r/>
            <w:r>
              <w:rPr>
                <w:rFonts w:ascii="Times New Roman" w:hAnsi="Times New Roman"/>
                <w:b w:val="0"/>
                <w:sz w:val="16"/>
              </w:rPr>
              <w:t>MFCC-based CNN weights.</w:t>
            </w:r>
          </w:p>
        </w:tc>
      </w:tr>
      <w:tr>
        <w:tc>
          <w:tcPr>
            <w:tcW w:type="dxa" w:w="2088"/>
            <w:vAlign w:val="center"/>
            <w:tcMar>
              <w:top w:w="80" w:type="dxa"/>
              <w:start w:w="95" w:type="dxa"/>
              <w:bottom w:w="80" w:type="dxa"/>
              <w:end w:w="95" w:type="dxa"/>
            </w:tcMar>
          </w:tcPr>
          <w:p>
            <w:pPr>
              <w:pStyle w:val="SmallTable"/>
              <w:jc w:val="left"/>
            </w:pPr>
            <w:r/>
            <w:r>
              <w:rPr>
                <w:rFonts w:ascii="Times New Roman" w:hAnsi="Times New Roman"/>
                <w:b w:val="0"/>
                <w:sz w:val="16"/>
              </w:rPr>
              <w:t>Video checkpoints</w:t>
            </w:r>
          </w:p>
        </w:tc>
        <w:tc>
          <w:tcPr>
            <w:tcW w:type="dxa" w:w="3744"/>
            <w:vAlign w:val="center"/>
            <w:tcMar>
              <w:top w:w="80" w:type="dxa"/>
              <w:start w:w="95" w:type="dxa"/>
              <w:bottom w:w="80" w:type="dxa"/>
              <w:end w:w="95" w:type="dxa"/>
            </w:tcMar>
          </w:tcPr>
          <w:p>
            <w:pPr>
              <w:pStyle w:val="SmallTable"/>
              <w:jc w:val="left"/>
            </w:pPr>
            <w:r/>
            <w:r>
              <w:rPr>
                <w:rFonts w:ascii="Times New Roman" w:hAnsi="Times New Roman"/>
                <w:b w:val="0"/>
                <w:sz w:val="16"/>
              </w:rPr>
              <w:t>models/final/video_detector/</w:t>
            </w:r>
          </w:p>
        </w:tc>
        <w:tc>
          <w:tcPr>
            <w:tcW w:type="dxa" w:w="3240"/>
            <w:vAlign w:val="center"/>
            <w:tcMar>
              <w:top w:w="80" w:type="dxa"/>
              <w:start w:w="95" w:type="dxa"/>
              <w:bottom w:w="80" w:type="dxa"/>
              <w:end w:w="95" w:type="dxa"/>
            </w:tcMar>
          </w:tcPr>
          <w:p>
            <w:pPr>
              <w:pStyle w:val="SmallTable"/>
              <w:jc w:val="left"/>
            </w:pPr>
            <w:r/>
            <w:r>
              <w:rPr>
                <w:rFonts w:ascii="Times New Roman" w:hAnsi="Times New Roman"/>
                <w:b w:val="0"/>
                <w:sz w:val="16"/>
              </w:rPr>
              <w:t>EfficientNet-B0 weights and legacy backup/calibration context.</w:t>
            </w:r>
          </w:p>
        </w:tc>
      </w:tr>
      <w:tr>
        <w:tc>
          <w:tcPr>
            <w:tcW w:type="dxa" w:w="2088"/>
            <w:vAlign w:val="center"/>
            <w:tcMar>
              <w:top w:w="80" w:type="dxa"/>
              <w:start w:w="95" w:type="dxa"/>
              <w:bottom w:w="80" w:type="dxa"/>
              <w:end w:w="95" w:type="dxa"/>
            </w:tcMar>
            <w:shd w:fill="F1F5F8"/>
          </w:tcPr>
          <w:p>
            <w:pPr>
              <w:pStyle w:val="SmallTable"/>
              <w:jc w:val="left"/>
            </w:pPr>
            <w:r/>
            <w:r>
              <w:rPr>
                <w:rFonts w:ascii="Times New Roman" w:hAnsi="Times New Roman"/>
                <w:b w:val="0"/>
                <w:sz w:val="16"/>
              </w:rPr>
              <w:t>Email dataset split</w:t>
            </w:r>
          </w:p>
        </w:tc>
        <w:tc>
          <w:tcPr>
            <w:tcW w:type="dxa" w:w="3744"/>
            <w:vAlign w:val="center"/>
            <w:tcMar>
              <w:top w:w="80" w:type="dxa"/>
              <w:start w:w="95" w:type="dxa"/>
              <w:bottom w:w="80" w:type="dxa"/>
              <w:end w:w="95" w:type="dxa"/>
            </w:tcMar>
            <w:shd w:fill="F1F5F8"/>
          </w:tcPr>
          <w:p>
            <w:pPr>
              <w:pStyle w:val="SmallTable"/>
              <w:jc w:val="left"/>
            </w:pPr>
            <w:r/>
            <w:r>
              <w:rPr>
                <w:rFonts w:ascii="Times New Roman" w:hAnsi="Times New Roman"/>
                <w:b w:val="0"/>
                <w:sz w:val="16"/>
              </w:rPr>
              <w:t>data/train_dataset.pkl; data/test_dataset.pkl</w:t>
            </w:r>
          </w:p>
        </w:tc>
        <w:tc>
          <w:tcPr>
            <w:tcW w:type="dxa" w:w="3240"/>
            <w:vAlign w:val="center"/>
            <w:tcMar>
              <w:top w:w="80" w:type="dxa"/>
              <w:start w:w="95" w:type="dxa"/>
              <w:bottom w:w="80" w:type="dxa"/>
              <w:end w:w="95" w:type="dxa"/>
            </w:tcMar>
            <w:shd w:fill="F1F5F8"/>
          </w:tcPr>
          <w:p>
            <w:pPr>
              <w:pStyle w:val="SmallTable"/>
              <w:jc w:val="left"/>
            </w:pPr>
            <w:r/>
            <w:r>
              <w:rPr>
                <w:rFonts w:ascii="Times New Roman" w:hAnsi="Times New Roman"/>
                <w:b w:val="0"/>
                <w:sz w:val="16"/>
              </w:rPr>
              <w:t>Email text and labels from the recorded split.</w:t>
            </w:r>
          </w:p>
        </w:tc>
      </w:tr>
      <w:tr>
        <w:tc>
          <w:tcPr>
            <w:tcW w:type="dxa" w:w="2088"/>
            <w:vAlign w:val="center"/>
            <w:tcMar>
              <w:top w:w="80" w:type="dxa"/>
              <w:start w:w="95" w:type="dxa"/>
              <w:bottom w:w="80" w:type="dxa"/>
              <w:end w:w="95" w:type="dxa"/>
            </w:tcMar>
          </w:tcPr>
          <w:p>
            <w:pPr>
              <w:pStyle w:val="SmallTable"/>
              <w:jc w:val="left"/>
            </w:pPr>
            <w:r/>
            <w:r>
              <w:rPr>
                <w:rFonts w:ascii="Times New Roman" w:hAnsi="Times New Roman"/>
                <w:b w:val="0"/>
                <w:sz w:val="16"/>
              </w:rPr>
              <w:t>Audio features</w:t>
            </w:r>
          </w:p>
        </w:tc>
        <w:tc>
          <w:tcPr>
            <w:tcW w:type="dxa" w:w="3744"/>
            <w:vAlign w:val="center"/>
            <w:tcMar>
              <w:top w:w="80" w:type="dxa"/>
              <w:start w:w="95" w:type="dxa"/>
              <w:bottom w:w="80" w:type="dxa"/>
              <w:end w:w="95" w:type="dxa"/>
            </w:tcMar>
          </w:tcPr>
          <w:p>
            <w:pPr>
              <w:pStyle w:val="SmallTable"/>
              <w:jc w:val="left"/>
            </w:pPr>
            <w:r/>
            <w:r>
              <w:rPr>
                <w:rFonts w:ascii="Times New Roman" w:hAnsi="Times New Roman"/>
                <w:b w:val="0"/>
                <w:sz w:val="16"/>
              </w:rPr>
              <w:t>data/audio_features_part_*.pkl</w:t>
            </w:r>
          </w:p>
        </w:tc>
        <w:tc>
          <w:tcPr>
            <w:tcW w:type="dxa" w:w="3240"/>
            <w:vAlign w:val="center"/>
            <w:tcMar>
              <w:top w:w="80" w:type="dxa"/>
              <w:start w:w="95" w:type="dxa"/>
              <w:bottom w:w="80" w:type="dxa"/>
              <w:end w:w="95" w:type="dxa"/>
            </w:tcMar>
          </w:tcPr>
          <w:p>
            <w:pPr>
              <w:pStyle w:val="SmallTable"/>
              <w:jc w:val="left"/>
            </w:pPr>
            <w:r/>
            <w:r>
              <w:rPr>
                <w:rFonts w:ascii="Times New Roman" w:hAnsi="Times New Roman"/>
                <w:b w:val="0"/>
                <w:sz w:val="16"/>
              </w:rPr>
              <w:t>Preprocessed audio feature chunks; split lineage requires documentation.</w:t>
            </w:r>
          </w:p>
        </w:tc>
      </w:tr>
      <w:tr>
        <w:tc>
          <w:tcPr>
            <w:tcW w:type="dxa" w:w="2088"/>
            <w:vAlign w:val="center"/>
            <w:tcMar>
              <w:top w:w="80" w:type="dxa"/>
              <w:start w:w="95" w:type="dxa"/>
              <w:bottom w:w="80" w:type="dxa"/>
              <w:end w:w="95" w:type="dxa"/>
            </w:tcMar>
            <w:shd w:fill="F1F5F8"/>
          </w:tcPr>
          <w:p>
            <w:pPr>
              <w:pStyle w:val="SmallTable"/>
              <w:jc w:val="left"/>
            </w:pPr>
            <w:r/>
            <w:r>
              <w:rPr>
                <w:rFonts w:ascii="Times New Roman" w:hAnsi="Times New Roman"/>
                <w:b w:val="0"/>
                <w:sz w:val="16"/>
              </w:rPr>
              <w:t>Video training chunks</w:t>
            </w:r>
          </w:p>
        </w:tc>
        <w:tc>
          <w:tcPr>
            <w:tcW w:type="dxa" w:w="3744"/>
            <w:vAlign w:val="center"/>
            <w:tcMar>
              <w:top w:w="80" w:type="dxa"/>
              <w:start w:w="95" w:type="dxa"/>
              <w:bottom w:w="80" w:type="dxa"/>
              <w:end w:w="95" w:type="dxa"/>
            </w:tcMar>
            <w:shd w:fill="F1F5F8"/>
          </w:tcPr>
          <w:p>
            <w:pPr>
              <w:pStyle w:val="SmallTable"/>
              <w:jc w:val="left"/>
            </w:pPr>
            <w:r/>
            <w:r>
              <w:rPr>
                <w:rFonts w:ascii="Times New Roman" w:hAnsi="Times New Roman"/>
                <w:b w:val="0"/>
                <w:sz w:val="16"/>
              </w:rPr>
              <w:t>colab_export/ffpp_chunk_*.pkl</w:t>
            </w:r>
          </w:p>
        </w:tc>
        <w:tc>
          <w:tcPr>
            <w:tcW w:type="dxa" w:w="3240"/>
            <w:vAlign w:val="center"/>
            <w:tcMar>
              <w:top w:w="80" w:type="dxa"/>
              <w:start w:w="95" w:type="dxa"/>
              <w:bottom w:w="80" w:type="dxa"/>
              <w:end w:w="95" w:type="dxa"/>
            </w:tcMar>
            <w:shd w:fill="F1F5F8"/>
          </w:tcPr>
          <w:p>
            <w:pPr>
              <w:pStyle w:val="SmallTable"/>
              <w:jc w:val="left"/>
            </w:pPr>
            <w:r/>
            <w:r>
              <w:rPr>
                <w:rFonts w:ascii="Times New Roman" w:hAnsi="Times New Roman"/>
                <w:b w:val="0"/>
                <w:sz w:val="16"/>
              </w:rPr>
              <w:t>Prepared video face tensors and labels; split lineage requires documentation.</w:t>
            </w:r>
          </w:p>
        </w:tc>
      </w:tr>
      <w:tr>
        <w:tc>
          <w:tcPr>
            <w:tcW w:type="dxa" w:w="2088"/>
            <w:vAlign w:val="center"/>
            <w:tcMar>
              <w:top w:w="80" w:type="dxa"/>
              <w:start w:w="95" w:type="dxa"/>
              <w:bottom w:w="80" w:type="dxa"/>
              <w:end w:w="95" w:type="dxa"/>
            </w:tcMar>
          </w:tcPr>
          <w:p>
            <w:pPr>
              <w:pStyle w:val="SmallTable"/>
              <w:jc w:val="left"/>
            </w:pPr>
            <w:r/>
            <w:r>
              <w:rPr>
                <w:rFonts w:ascii="Times New Roman" w:hAnsi="Times New Roman"/>
                <w:b w:val="0"/>
                <w:sz w:val="16"/>
              </w:rPr>
              <w:t>Email report</w:t>
            </w:r>
          </w:p>
        </w:tc>
        <w:tc>
          <w:tcPr>
            <w:tcW w:type="dxa" w:w="3744"/>
            <w:vAlign w:val="center"/>
            <w:tcMar>
              <w:top w:w="80" w:type="dxa"/>
              <w:start w:w="95" w:type="dxa"/>
              <w:bottom w:w="80" w:type="dxa"/>
              <w:end w:w="95" w:type="dxa"/>
            </w:tcMar>
          </w:tcPr>
          <w:p>
            <w:pPr>
              <w:pStyle w:val="SmallTable"/>
              <w:jc w:val="left"/>
            </w:pPr>
            <w:r/>
            <w:r>
              <w:rPr>
                <w:rFonts w:ascii="Times New Roman" w:hAnsi="Times New Roman"/>
                <w:b w:val="0"/>
                <w:sz w:val="16"/>
              </w:rPr>
              <w:t>outputs/reports/classification_report.txt</w:t>
            </w:r>
          </w:p>
        </w:tc>
        <w:tc>
          <w:tcPr>
            <w:tcW w:type="dxa" w:w="3240"/>
            <w:vAlign w:val="center"/>
            <w:tcMar>
              <w:top w:w="80" w:type="dxa"/>
              <w:start w:w="95" w:type="dxa"/>
              <w:bottom w:w="80" w:type="dxa"/>
              <w:end w:w="95" w:type="dxa"/>
            </w:tcMar>
          </w:tcPr>
          <w:p>
            <w:pPr>
              <w:pStyle w:val="SmallTable"/>
              <w:jc w:val="left"/>
            </w:pPr>
            <w:r/>
            <w:r>
              <w:rPr>
                <w:rFonts w:ascii="Times New Roman" w:hAnsi="Times New Roman"/>
                <w:b w:val="0"/>
                <w:sz w:val="16"/>
              </w:rPr>
              <w:t>Saved aggregate classification report; no per-example predictions.</w:t>
            </w:r>
          </w:p>
        </w:tc>
      </w:tr>
      <w:tr>
        <w:tc>
          <w:tcPr>
            <w:tcW w:type="dxa" w:w="2088"/>
            <w:vAlign w:val="center"/>
            <w:tcMar>
              <w:top w:w="80" w:type="dxa"/>
              <w:start w:w="95" w:type="dxa"/>
              <w:bottom w:w="80" w:type="dxa"/>
              <w:end w:w="95" w:type="dxa"/>
            </w:tcMar>
            <w:shd w:fill="F1F5F8"/>
          </w:tcPr>
          <w:p>
            <w:pPr>
              <w:pStyle w:val="SmallTable"/>
              <w:jc w:val="left"/>
            </w:pPr>
            <w:r/>
            <w:r>
              <w:rPr>
                <w:rFonts w:ascii="Times New Roman" w:hAnsi="Times New Roman"/>
                <w:b w:val="0"/>
                <w:sz w:val="16"/>
              </w:rPr>
              <w:t>Benchmark runner</w:t>
            </w:r>
          </w:p>
        </w:tc>
        <w:tc>
          <w:tcPr>
            <w:tcW w:type="dxa" w:w="3744"/>
            <w:vAlign w:val="center"/>
            <w:tcMar>
              <w:top w:w="80" w:type="dxa"/>
              <w:start w:w="95" w:type="dxa"/>
              <w:bottom w:w="80" w:type="dxa"/>
              <w:end w:w="95" w:type="dxa"/>
            </w:tcMar>
            <w:shd w:fill="F1F5F8"/>
          </w:tcPr>
          <w:p>
            <w:pPr>
              <w:pStyle w:val="SmallTable"/>
              <w:jc w:val="left"/>
            </w:pPr>
            <w:r/>
            <w:r>
              <w:rPr>
                <w:rFonts w:ascii="Times New Roman" w:hAnsi="Times New Roman"/>
                <w:b w:val="0"/>
                <w:sz w:val="16"/>
              </w:rPr>
              <w:t>scripts/run_ablation_study.py</w:t>
            </w:r>
          </w:p>
        </w:tc>
        <w:tc>
          <w:tcPr>
            <w:tcW w:type="dxa" w:w="3240"/>
            <w:vAlign w:val="center"/>
            <w:tcMar>
              <w:top w:w="80" w:type="dxa"/>
              <w:start w:w="95" w:type="dxa"/>
              <w:bottom w:w="80" w:type="dxa"/>
              <w:end w:w="95" w:type="dxa"/>
            </w:tcMar>
            <w:shd w:fill="F1F5F8"/>
          </w:tcPr>
          <w:p>
            <w:pPr>
              <w:pStyle w:val="SmallTable"/>
              <w:jc w:val="left"/>
            </w:pPr>
            <w:r/>
            <w:r>
              <w:rPr>
                <w:rFonts w:ascii="Times New Roman" w:hAnsi="Times New Roman"/>
                <w:b w:val="0"/>
                <w:sz w:val="16"/>
              </w:rPr>
              <w:t>Paired-scenario evaluation and result export tool.</w:t>
            </w:r>
          </w:p>
        </w:tc>
      </w:tr>
    </w:tbl>
    <w:p>
      <w:pPr>
        <w:spacing w:after="0"/>
      </w:pPr>
    </w:p>
    <w:p>
      <w:r>
        <w:rPr>
          <w:i w:val="0"/>
        </w:rPr>
        <w:t>Local artifact presence is not proof that a dataset was used only in training or only in testing. The sample manifest, checkpoint and split records should be retained together with hash values for a reproducible evaluation.</w:t>
      </w:r>
    </w:p>
    <w:p>
      <w:pPr>
        <w:pStyle w:val="Heading2"/>
      </w:pPr>
      <w:r>
        <w:t>Appendix B Operational Thresholds</w:t>
      </w:r>
    </w:p>
    <w:tbl>
      <w:tblPr>
        <w:tblW w:type="auto" w:w="0"/>
        <w:jc w:val="center"/>
        <w:tblLayout w:type="fixed"/>
        <w:tblLook w:firstColumn="1" w:firstRow="1" w:lastColumn="0" w:lastRow="0" w:noHBand="0" w:noVBand="1" w:val="04A0"/>
        <w:tblBorders>
          <w:top w:val="single" w:sz="5" w:space="0" w:color="9BAABA"/>
          <w:left w:val="single" w:sz="5" w:space="0" w:color="9BAABA"/>
          <w:bottom w:val="single" w:sz="5" w:space="0" w:color="9BAABA"/>
          <w:right w:val="single" w:sz="5" w:space="0" w:color="9BAABA"/>
          <w:insideH w:val="single" w:sz="5" w:space="0" w:color="9BAABA"/>
          <w:insideV w:val="single" w:sz="5" w:space="0" w:color="9BAABA"/>
        </w:tblBorders>
      </w:tblPr>
      <w:tblGrid>
        <w:gridCol w:w="2160"/>
        <w:gridCol w:w="2376"/>
        <w:gridCol w:w="4536"/>
      </w:tblGrid>
      <w:tr>
        <w:trPr>
          <w:tblHeader w:val="true"/>
        </w:trPr>
        <w:tc>
          <w:tcPr>
            <w:tcW w:type="dxa" w:w="3106"/>
            <w:vAlign w:val="center"/>
            <w:tcMar>
              <w:top w:w="80" w:type="dxa"/>
              <w:start w:w="95" w:type="dxa"/>
              <w:bottom w:w="80" w:type="dxa"/>
              <w:end w:w="95" w:type="dxa"/>
            </w:tcMar>
            <w:shd w:fill="18364F"/>
          </w:tcPr>
          <w:p>
            <w:pPr>
              <w:pStyle w:val="SmallTable"/>
              <w:jc w:val="left"/>
            </w:pPr>
            <w:r/>
            <w:r>
              <w:rPr>
                <w:rFonts w:ascii="Times New Roman" w:hAnsi="Times New Roman"/>
                <w:b/>
                <w:color w:val="FFFFFF"/>
                <w:sz w:val="16"/>
              </w:rPr>
              <w:t>Sensor / operation</w:t>
            </w:r>
          </w:p>
        </w:tc>
        <w:tc>
          <w:tcPr>
            <w:tcW w:type="dxa" w:w="3106"/>
            <w:vAlign w:val="center"/>
            <w:tcMar>
              <w:top w:w="80" w:type="dxa"/>
              <w:start w:w="95" w:type="dxa"/>
              <w:bottom w:w="80" w:type="dxa"/>
              <w:end w:w="95" w:type="dxa"/>
            </w:tcMar>
            <w:shd w:fill="18364F"/>
          </w:tcPr>
          <w:p>
            <w:pPr>
              <w:pStyle w:val="SmallTable"/>
              <w:jc w:val="left"/>
            </w:pPr>
            <w:r/>
            <w:r>
              <w:rPr>
                <w:rFonts w:ascii="Times New Roman" w:hAnsi="Times New Roman"/>
                <w:b/>
                <w:color w:val="FFFFFF"/>
                <w:sz w:val="16"/>
              </w:rPr>
              <w:t>Current implementation setting</w:t>
            </w:r>
          </w:p>
        </w:tc>
        <w:tc>
          <w:tcPr>
            <w:tcW w:type="dxa" w:w="3106"/>
            <w:vAlign w:val="center"/>
            <w:tcMar>
              <w:top w:w="80" w:type="dxa"/>
              <w:start w:w="95" w:type="dxa"/>
              <w:bottom w:w="80" w:type="dxa"/>
              <w:end w:w="95" w:type="dxa"/>
            </w:tcMar>
            <w:shd w:fill="18364F"/>
          </w:tcPr>
          <w:p>
            <w:pPr>
              <w:pStyle w:val="SmallTable"/>
              <w:jc w:val="left"/>
            </w:pPr>
            <w:r/>
            <w:r>
              <w:rPr>
                <w:rFonts w:ascii="Times New Roman" w:hAnsi="Times New Roman"/>
                <w:b/>
                <w:color w:val="FFFFFF"/>
                <w:sz w:val="16"/>
              </w:rPr>
              <w:t>Meaning</w:t>
            </w:r>
          </w:p>
        </w:tc>
      </w:tr>
      <w:tr>
        <w:tc>
          <w:tcPr>
            <w:tcW w:type="dxa" w:w="2160"/>
            <w:vAlign w:val="center"/>
            <w:tcMar>
              <w:top w:w="80" w:type="dxa"/>
              <w:start w:w="95" w:type="dxa"/>
              <w:bottom w:w="80" w:type="dxa"/>
              <w:end w:w="95" w:type="dxa"/>
            </w:tcMar>
          </w:tcPr>
          <w:p>
            <w:pPr>
              <w:pStyle w:val="SmallTable"/>
              <w:jc w:val="left"/>
            </w:pPr>
            <w:r/>
            <w:r>
              <w:rPr>
                <w:rFonts w:ascii="Times New Roman" w:hAnsi="Times New Roman"/>
                <w:b w:val="0"/>
                <w:sz w:val="16"/>
              </w:rPr>
              <w:t>Email</w:t>
            </w:r>
          </w:p>
        </w:tc>
        <w:tc>
          <w:tcPr>
            <w:tcW w:type="dxa" w:w="2376"/>
            <w:vAlign w:val="center"/>
            <w:tcMar>
              <w:top w:w="80" w:type="dxa"/>
              <w:start w:w="95" w:type="dxa"/>
              <w:bottom w:w="80" w:type="dxa"/>
              <w:end w:w="95" w:type="dxa"/>
            </w:tcMar>
          </w:tcPr>
          <w:p>
            <w:pPr>
              <w:pStyle w:val="SmallTable"/>
              <w:jc w:val="left"/>
            </w:pPr>
            <w:r/>
            <w:r>
              <w:rPr>
                <w:rFonts w:ascii="Times New Roman" w:hAnsi="Times New Roman"/>
                <w:b w:val="0"/>
                <w:sz w:val="16"/>
              </w:rPr>
              <w:t>0.50</w:t>
            </w:r>
          </w:p>
        </w:tc>
        <w:tc>
          <w:tcPr>
            <w:tcW w:type="dxa" w:w="4536"/>
            <w:vAlign w:val="center"/>
            <w:tcMar>
              <w:top w:w="80" w:type="dxa"/>
              <w:start w:w="95" w:type="dxa"/>
              <w:bottom w:w="80" w:type="dxa"/>
              <w:end w:w="95" w:type="dxa"/>
            </w:tcMar>
          </w:tcPr>
          <w:p>
            <w:pPr>
              <w:pStyle w:val="SmallTable"/>
              <w:jc w:val="left"/>
            </w:pPr>
            <w:r/>
            <w:r>
              <w:rPr>
                <w:rFonts w:ascii="Times New Roman" w:hAnsi="Times New Roman"/>
                <w:b w:val="0"/>
                <w:sz w:val="16"/>
              </w:rPr>
              <w:t>Class-1 probability at or above this value produces a phishing indicator.</w:t>
            </w:r>
          </w:p>
        </w:tc>
      </w:tr>
      <w:tr>
        <w:tc>
          <w:tcPr>
            <w:tcW w:type="dxa" w:w="2160"/>
            <w:vAlign w:val="center"/>
            <w:tcMar>
              <w:top w:w="80" w:type="dxa"/>
              <w:start w:w="95" w:type="dxa"/>
              <w:bottom w:w="80" w:type="dxa"/>
              <w:end w:w="95" w:type="dxa"/>
            </w:tcMar>
            <w:shd w:fill="F1F5F8"/>
          </w:tcPr>
          <w:p>
            <w:pPr>
              <w:pStyle w:val="SmallTable"/>
              <w:jc w:val="left"/>
            </w:pPr>
            <w:r/>
            <w:r>
              <w:rPr>
                <w:rFonts w:ascii="Times New Roman" w:hAnsi="Times New Roman"/>
                <w:b w:val="0"/>
                <w:sz w:val="16"/>
              </w:rPr>
              <w:t>Audio</w:t>
            </w:r>
          </w:p>
        </w:tc>
        <w:tc>
          <w:tcPr>
            <w:tcW w:type="dxa" w:w="2376"/>
            <w:vAlign w:val="center"/>
            <w:tcMar>
              <w:top w:w="80" w:type="dxa"/>
              <w:start w:w="95" w:type="dxa"/>
              <w:bottom w:w="80" w:type="dxa"/>
              <w:end w:w="95" w:type="dxa"/>
            </w:tcMar>
            <w:shd w:fill="F1F5F8"/>
          </w:tcPr>
          <w:p>
            <w:pPr>
              <w:pStyle w:val="SmallTable"/>
              <w:jc w:val="left"/>
            </w:pPr>
            <w:r/>
            <w:r>
              <w:rPr>
                <w:rFonts w:ascii="Times New Roman" w:hAnsi="Times New Roman"/>
                <w:b w:val="0"/>
                <w:sz w:val="16"/>
              </w:rPr>
              <w:t>0.45</w:t>
            </w:r>
          </w:p>
        </w:tc>
        <w:tc>
          <w:tcPr>
            <w:tcW w:type="dxa" w:w="4536"/>
            <w:vAlign w:val="center"/>
            <w:tcMar>
              <w:top w:w="80" w:type="dxa"/>
              <w:start w:w="95" w:type="dxa"/>
              <w:bottom w:w="80" w:type="dxa"/>
              <w:end w:w="95" w:type="dxa"/>
            </w:tcMar>
            <w:shd w:fill="F1F5F8"/>
          </w:tcPr>
          <w:p>
            <w:pPr>
              <w:pStyle w:val="SmallTable"/>
              <w:jc w:val="left"/>
            </w:pPr>
            <w:r/>
            <w:r>
              <w:rPr>
                <w:rFonts w:ascii="Times New Roman" w:hAnsi="Times New Roman"/>
                <w:b w:val="0"/>
                <w:sz w:val="16"/>
              </w:rPr>
              <w:t>Sigmoid score at or above this value produces a synthetic-audio indicator.</w:t>
            </w:r>
          </w:p>
        </w:tc>
      </w:tr>
      <w:tr>
        <w:tc>
          <w:tcPr>
            <w:tcW w:type="dxa" w:w="2160"/>
            <w:vAlign w:val="center"/>
            <w:tcMar>
              <w:top w:w="80" w:type="dxa"/>
              <w:start w:w="95" w:type="dxa"/>
              <w:bottom w:w="80" w:type="dxa"/>
              <w:end w:w="95" w:type="dxa"/>
            </w:tcMar>
          </w:tcPr>
          <w:p>
            <w:pPr>
              <w:pStyle w:val="SmallTable"/>
              <w:jc w:val="left"/>
            </w:pPr>
            <w:r/>
            <w:r>
              <w:rPr>
                <w:rFonts w:ascii="Times New Roman" w:hAnsi="Times New Roman"/>
                <w:b w:val="0"/>
                <w:sz w:val="16"/>
              </w:rPr>
              <w:t>Video face detection</w:t>
            </w:r>
          </w:p>
        </w:tc>
        <w:tc>
          <w:tcPr>
            <w:tcW w:type="dxa" w:w="2376"/>
            <w:vAlign w:val="center"/>
            <w:tcMar>
              <w:top w:w="80" w:type="dxa"/>
              <w:start w:w="95" w:type="dxa"/>
              <w:bottom w:w="80" w:type="dxa"/>
              <w:end w:w="95" w:type="dxa"/>
            </w:tcMar>
          </w:tcPr>
          <w:p>
            <w:pPr>
              <w:pStyle w:val="SmallTable"/>
              <w:jc w:val="left"/>
            </w:pPr>
            <w:r/>
            <w:r>
              <w:rPr>
                <w:rFonts w:ascii="Times New Roman" w:hAnsi="Times New Roman"/>
                <w:b w:val="0"/>
                <w:sz w:val="16"/>
              </w:rPr>
              <w:t>0.90 MTCNN confidence</w:t>
            </w:r>
          </w:p>
        </w:tc>
        <w:tc>
          <w:tcPr>
            <w:tcW w:type="dxa" w:w="4536"/>
            <w:vAlign w:val="center"/>
            <w:tcMar>
              <w:top w:w="80" w:type="dxa"/>
              <w:start w:w="95" w:type="dxa"/>
              <w:bottom w:w="80" w:type="dxa"/>
              <w:end w:w="95" w:type="dxa"/>
            </w:tcMar>
          </w:tcPr>
          <w:p>
            <w:pPr>
              <w:pStyle w:val="SmallTable"/>
              <w:jc w:val="left"/>
            </w:pPr>
            <w:r/>
            <w:r>
              <w:rPr>
                <w:rFonts w:ascii="Times New Roman" w:hAnsi="Times New Roman"/>
                <w:b w:val="0"/>
                <w:sz w:val="16"/>
              </w:rPr>
              <w:t>Face region is accepted for downstream crop classification.</w:t>
            </w:r>
          </w:p>
        </w:tc>
      </w:tr>
      <w:tr>
        <w:tc>
          <w:tcPr>
            <w:tcW w:type="dxa" w:w="2160"/>
            <w:vAlign w:val="center"/>
            <w:tcMar>
              <w:top w:w="80" w:type="dxa"/>
              <w:start w:w="95" w:type="dxa"/>
              <w:bottom w:w="80" w:type="dxa"/>
              <w:end w:w="95" w:type="dxa"/>
            </w:tcMar>
            <w:shd w:fill="F1F5F8"/>
          </w:tcPr>
          <w:p>
            <w:pPr>
              <w:pStyle w:val="SmallTable"/>
              <w:jc w:val="left"/>
            </w:pPr>
            <w:r/>
            <w:r>
              <w:rPr>
                <w:rFonts w:ascii="Times New Roman" w:hAnsi="Times New Roman"/>
                <w:b w:val="0"/>
                <w:sz w:val="16"/>
              </w:rPr>
              <w:t>Video calibration</w:t>
            </w:r>
          </w:p>
        </w:tc>
        <w:tc>
          <w:tcPr>
            <w:tcW w:type="dxa" w:w="2376"/>
            <w:vAlign w:val="center"/>
            <w:tcMar>
              <w:top w:w="80" w:type="dxa"/>
              <w:start w:w="95" w:type="dxa"/>
              <w:bottom w:w="80" w:type="dxa"/>
              <w:end w:w="95" w:type="dxa"/>
            </w:tcMar>
            <w:shd w:fill="F1F5F8"/>
          </w:tcPr>
          <w:p>
            <w:pPr>
              <w:pStyle w:val="SmallTable"/>
              <w:jc w:val="left"/>
            </w:pPr>
            <w:r/>
            <w:r>
              <w:rPr>
                <w:rFonts w:ascii="Times New Roman" w:hAnsi="Times New Roman"/>
                <w:b w:val="0"/>
                <w:sz w:val="16"/>
              </w:rPr>
              <w:t>0.7920 fallback raw threshold</w:t>
            </w:r>
          </w:p>
        </w:tc>
        <w:tc>
          <w:tcPr>
            <w:tcW w:type="dxa" w:w="4536"/>
            <w:vAlign w:val="center"/>
            <w:tcMar>
              <w:top w:w="80" w:type="dxa"/>
              <w:start w:w="95" w:type="dxa"/>
              <w:bottom w:w="80" w:type="dxa"/>
              <w:end w:w="95" w:type="dxa"/>
            </w:tcMar>
            <w:shd w:fill="F1F5F8"/>
          </w:tcPr>
          <w:p>
            <w:pPr>
              <w:pStyle w:val="SmallTable"/>
              <w:jc w:val="left"/>
            </w:pPr>
            <w:r/>
            <w:r>
              <w:rPr>
                <w:rFonts w:ascii="Times New Roman" w:hAnsi="Times New Roman"/>
                <w:b w:val="0"/>
                <w:sz w:val="16"/>
              </w:rPr>
              <w:t>Raw score is logit-shifted so this threshold maps to calibrated 0.50; a calibration.json file overrides the fallback.</w:t>
            </w:r>
          </w:p>
        </w:tc>
      </w:tr>
      <w:tr>
        <w:tc>
          <w:tcPr>
            <w:tcW w:type="dxa" w:w="2160"/>
            <w:vAlign w:val="center"/>
            <w:tcMar>
              <w:top w:w="80" w:type="dxa"/>
              <w:start w:w="95" w:type="dxa"/>
              <w:bottom w:w="80" w:type="dxa"/>
              <w:end w:w="95" w:type="dxa"/>
            </w:tcMar>
          </w:tcPr>
          <w:p>
            <w:pPr>
              <w:pStyle w:val="SmallTable"/>
              <w:jc w:val="left"/>
            </w:pPr>
            <w:r/>
            <w:r>
              <w:rPr>
                <w:rFonts w:ascii="Times New Roman" w:hAnsi="Times New Roman"/>
                <w:b w:val="0"/>
                <w:sz w:val="16"/>
              </w:rPr>
              <w:t>Multimodal veto</w:t>
            </w:r>
          </w:p>
        </w:tc>
        <w:tc>
          <w:tcPr>
            <w:tcW w:type="dxa" w:w="2376"/>
            <w:vAlign w:val="center"/>
            <w:tcMar>
              <w:top w:w="80" w:type="dxa"/>
              <w:start w:w="95" w:type="dxa"/>
              <w:bottom w:w="80" w:type="dxa"/>
              <w:end w:w="95" w:type="dxa"/>
            </w:tcMar>
          </w:tcPr>
          <w:p>
            <w:pPr>
              <w:pStyle w:val="SmallTable"/>
              <w:jc w:val="left"/>
            </w:pPr>
            <w:r/>
            <w:r>
              <w:rPr>
                <w:rFonts w:ascii="Times New Roman" w:hAnsi="Times New Roman"/>
                <w:b w:val="0"/>
                <w:sz w:val="16"/>
              </w:rPr>
              <w:t>0.85 audio or video score</w:t>
            </w:r>
          </w:p>
        </w:tc>
        <w:tc>
          <w:tcPr>
            <w:tcW w:type="dxa" w:w="4536"/>
            <w:vAlign w:val="center"/>
            <w:tcMar>
              <w:top w:w="80" w:type="dxa"/>
              <w:start w:w="95" w:type="dxa"/>
              <w:bottom w:w="80" w:type="dxa"/>
              <w:end w:w="95" w:type="dxa"/>
            </w:tcMar>
          </w:tcPr>
          <w:p>
            <w:pPr>
              <w:pStyle w:val="SmallTable"/>
              <w:jc w:val="left"/>
            </w:pPr>
            <w:r/>
            <w:r>
              <w:rPr>
                <w:rFonts w:ascii="Times New Roman" w:hAnsi="Times New Roman"/>
                <w:b w:val="0"/>
                <w:sz w:val="16"/>
              </w:rPr>
              <w:t>Returns the highest available sensor score.</w:t>
            </w:r>
          </w:p>
        </w:tc>
      </w:tr>
      <w:tr>
        <w:tc>
          <w:tcPr>
            <w:tcW w:type="dxa" w:w="2160"/>
            <w:vAlign w:val="center"/>
            <w:tcMar>
              <w:top w:w="80" w:type="dxa"/>
              <w:start w:w="95" w:type="dxa"/>
              <w:bottom w:w="80" w:type="dxa"/>
              <w:end w:w="95" w:type="dxa"/>
            </w:tcMar>
            <w:shd w:fill="F1F5F8"/>
          </w:tcPr>
          <w:p>
            <w:pPr>
              <w:pStyle w:val="SmallTable"/>
              <w:jc w:val="left"/>
            </w:pPr>
            <w:r/>
            <w:r>
              <w:rPr>
                <w:rFonts w:ascii="Times New Roman" w:hAnsi="Times New Roman"/>
                <w:b w:val="0"/>
                <w:sz w:val="16"/>
              </w:rPr>
              <w:t>Final threat decision</w:t>
            </w:r>
          </w:p>
        </w:tc>
        <w:tc>
          <w:tcPr>
            <w:tcW w:type="dxa" w:w="2376"/>
            <w:vAlign w:val="center"/>
            <w:tcMar>
              <w:top w:w="80" w:type="dxa"/>
              <w:start w:w="95" w:type="dxa"/>
              <w:bottom w:w="80" w:type="dxa"/>
              <w:end w:w="95" w:type="dxa"/>
            </w:tcMar>
            <w:shd w:fill="F1F5F8"/>
          </w:tcPr>
          <w:p>
            <w:pPr>
              <w:pStyle w:val="SmallTable"/>
              <w:jc w:val="left"/>
            </w:pPr>
            <w:r/>
            <w:r>
              <w:rPr>
                <w:rFonts w:ascii="Times New Roman" w:hAnsi="Times New Roman"/>
                <w:b w:val="0"/>
                <w:sz w:val="16"/>
              </w:rPr>
              <w:t>0.50 unified score</w:t>
            </w:r>
          </w:p>
        </w:tc>
        <w:tc>
          <w:tcPr>
            <w:tcW w:type="dxa" w:w="4536"/>
            <w:vAlign w:val="center"/>
            <w:tcMar>
              <w:top w:w="80" w:type="dxa"/>
              <w:start w:w="95" w:type="dxa"/>
              <w:bottom w:w="80" w:type="dxa"/>
              <w:end w:w="95" w:type="dxa"/>
            </w:tcMar>
            <w:shd w:fill="F1F5F8"/>
          </w:tcPr>
          <w:p>
            <w:pPr>
              <w:pStyle w:val="SmallTable"/>
              <w:jc w:val="left"/>
            </w:pPr>
            <w:r/>
            <w:r>
              <w:rPr>
                <w:rFonts w:ascii="Times New Roman" w:hAnsi="Times New Roman"/>
                <w:b w:val="0"/>
                <w:sz w:val="16"/>
              </w:rPr>
              <w:t>Scores at or above boundary receive the threat label.</w:t>
            </w:r>
          </w:p>
        </w:tc>
      </w:tr>
    </w:tbl>
    <w:p>
      <w:pPr>
        <w:spacing w:after="0"/>
      </w:pPr>
    </w:p>
    <w:p>
      <w:pPr>
        <w:pStyle w:val="Heading2"/>
      </w:pPr>
      <w:r>
        <w:t>Appendix C API and Local Deployment</w:t>
      </w:r>
    </w:p>
    <w:p>
      <w:r>
        <w:rPr>
          <w:i w:val="0"/>
        </w:rPr>
        <w:t>The API routes are documented in Chapter 9. The default Compose deployment publishes the user interface on 127.0.0.1:8080 and keeps the backend service on the private Compose network. The project documentation describes building and starting the two services with Docker Compose. Before claiming deployment readiness, confirm both services start, model availability is healthy, API calls complete, and the local host binding is preserved.</w:t>
      </w:r>
    </w:p>
    <w:p>
      <w:pPr>
        <w:pStyle w:val="Heading2"/>
      </w:pPr>
      <w:r>
        <w:t>Appendix D Evidence Checklist for Final Research Submission</w:t>
      </w:r>
    </w:p>
    <w:p>
      <w:pPr>
        <w:pStyle w:val="ListBullet"/>
        <w:spacing w:after="60"/>
        <w:ind w:left="432" w:hanging="216"/>
      </w:pPr>
      <w:r>
        <w:t>Email prediction export that reconciles the 98.80% report headline with the archived confusion counts.</w:t>
      </w:r>
    </w:p>
    <w:p>
      <w:pPr>
        <w:pStyle w:val="ListBullet"/>
        <w:spacing w:after="60"/>
        <w:ind w:left="432" w:hanging="216"/>
      </w:pPr>
      <w:r>
        <w:t>Audio and video held-out result files with model hashes, split manifests, thresholds, and confusion or benchmark metrics.</w:t>
      </w:r>
    </w:p>
    <w:p>
      <w:pPr>
        <w:pStyle w:val="ListBullet"/>
        <w:spacing w:after="60"/>
        <w:ind w:left="432" w:hanging="216"/>
      </w:pPr>
      <w:r>
        <w:t>Completed paired-scenario validation/test manifest with independent groups and functioning media paths.</w:t>
      </w:r>
    </w:p>
    <w:p>
      <w:pPr>
        <w:pStyle w:val="ListBullet"/>
        <w:spacing w:after="60"/>
        <w:ind w:left="432" w:hanging="216"/>
      </w:pPr>
      <w:r>
        <w:t>Ablation metrics, per-scenario predictions, run metadata, sensor coverage, and uncertainty intervals from the benchmark runner.</w:t>
      </w:r>
    </w:p>
    <w:p>
      <w:pPr>
        <w:pStyle w:val="ListBullet"/>
        <w:spacing w:after="60"/>
        <w:ind w:left="432" w:hanging="216"/>
      </w:pPr>
      <w:r>
        <w:t>Final institution-approved similarity checker output for the final report version.</w:t>
      </w:r>
    </w:p>
    <w:p>
      <w:pPr>
        <w:pStyle w:val="ListBullet"/>
        <w:spacing w:after="60"/>
        <w:ind w:left="432" w:hanging="216"/>
      </w:pPr>
      <w:r>
        <w:t>Confirmed guide name, submission date, signatures, and department formatting requirements.</w:t>
      </w:r>
    </w:p>
    <w:sectPr w:rsidR="00FC693F" w:rsidRPr="0006063C" w:rsidSect="00034616">
      <w:type w:val="continuous"/>
      <w:pgSz w:w="11909" w:h="16834"/>
      <w:pgMar w:top="1296" w:right="1296" w:bottom="1181" w:left="1296" w:header="547" w:footer="504" w:gutter="0"/>
      <w:cols w:space="4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20"/>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eastAsia="Times New Roman"/>
      <w:b/>
      <w:bCs/>
      <w:color w:val="162A3C"/>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Times New Roman"/>
      <w:b/>
      <w:bCs/>
      <w:color w:val="162A3C"/>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Times New Roman" w:hAnsi="Times New Roman" w:eastAsia="Times New Roman"/>
      <w:b/>
      <w:bCs/>
      <w:color w:val="162A3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able">
    <w:name w:val="Small Table"/>
    <w:pPr>
      <w:spacing w:after="0" w:line="240" w:lineRule="auto"/>
    </w:pPr>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SynthGuard Project Report</dc:title>
  <dc:subject>Multimodal threat intelligence and synthetic media analysis</dc:subject>
  <dc:creator>Jay Sharma</dc:creator>
  <cp:keywords>SynthGuard, phishing, spoofed speech, deepfake video, multimodal fusion</cp:keywords>
  <dc:description>Draft report with evidence limitations explicitly documented.</dc:description>
  <cp:lastModifiedBy/>
  <cp:revision>1</cp:revision>
  <dcterms:created xsi:type="dcterms:W3CDTF">2013-12-23T23:15:00Z</dcterms:created>
  <dcterms:modified xsi:type="dcterms:W3CDTF">2013-12-23T23:15:00Z</dcterms:modified>
  <cp:category/>
</cp:coreProperties>
</file>