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0" w:after="140"/>
        <w:jc w:val="center"/>
        <w:rPr>
          <w:sz w:val="24"/>
          <w:szCs w:val="24"/>
        </w:rPr>
      </w:pPr>
      <w:r>
        <w:rPr>
          <w:rFonts w:eastAsia="Times New Roman"/>
          <w:b/>
          <w:sz w:val="24"/>
          <w:szCs w:val="24"/>
        </w:rPr>
        <w:t>SYNTHGUARD: A LOCALLY DEPLOYED MULTIMODAL THREAT INTELLIGENCE AND DEEPFAKE DEFENSE ARCHITECTURE</w:t>
      </w:r>
    </w:p>
    <w:p>
      <w:pPr>
        <w:pStyle w:val="Normal"/>
        <w:keepNext w:val="true"/>
        <w:spacing w:before="0" w:after="40"/>
        <w:jc w:val="center"/>
        <w:rPr>
          <w:sz w:val="24"/>
          <w:szCs w:val="24"/>
        </w:rPr>
      </w:pPr>
      <w:r>
        <w:rPr>
          <w:rFonts w:eastAsia="Times New Roman"/>
          <w:sz w:val="24"/>
          <w:szCs w:val="24"/>
        </w:rPr>
        <w:t>Jay Shravan Kumar Sharma | Roll No. TYCS47</w:t>
      </w:r>
    </w:p>
    <w:p>
      <w:pPr>
        <w:pStyle w:val="Normal"/>
        <w:keepNext w:val="true"/>
        <w:spacing w:before="0" w:after="40"/>
        <w:jc w:val="center"/>
        <w:rPr>
          <w:sz w:val="24"/>
          <w:szCs w:val="24"/>
        </w:rPr>
      </w:pPr>
      <w:r>
        <w:rPr>
          <w:rFonts w:eastAsia="Times New Roman"/>
          <w:sz w:val="24"/>
          <w:szCs w:val="24"/>
        </w:rPr>
        <w:t>Department of Computer Science, Bharatiya Vidya Bhavan's Bhavan's College (Empowered Autonomous), Mumbai, India</w:t>
      </w:r>
    </w:p>
    <w:p>
      <w:pPr>
        <w:pStyle w:val="Normal"/>
        <w:keepNext w:val="true"/>
        <w:spacing w:before="0" w:after="40"/>
        <w:jc w:val="center"/>
        <w:rPr>
          <w:sz w:val="24"/>
          <w:szCs w:val="24"/>
        </w:rPr>
      </w:pPr>
      <w:r>
        <w:rPr>
          <w:rFonts w:eastAsia="Times New Roman"/>
          <w:sz w:val="24"/>
          <w:szCs w:val="24"/>
        </w:rPr>
        <w:t>Under the guidance of Mrs. Krupa Kamdar | Semester 5 | Academic Year 2026-2027</w:t>
      </w:r>
    </w:p>
    <w:p>
      <w:pPr>
        <w:pStyle w:val="Normal"/>
        <w:keepNext w:val="true"/>
        <w:spacing w:before="0" w:after="40"/>
        <w:jc w:val="center"/>
        <w:rPr>
          <w:sz w:val="24"/>
          <w:szCs w:val="24"/>
        </w:rPr>
      </w:pPr>
      <w:r>
        <w:rPr>
          <w:rFonts w:eastAsia="Times New Roman"/>
          <w:sz w:val="24"/>
          <w:szCs w:val="24"/>
        </w:rPr>
        <w:t>Submitted 21 October 2026</w:t>
      </w:r>
    </w:p>
    <w:p>
      <w:pPr>
        <w:pStyle w:val="Normal"/>
        <w:keepNext w:val="true"/>
        <w:spacing w:before="160" w:after="60"/>
        <w:rPr>
          <w:sz w:val="24"/>
          <w:szCs w:val="24"/>
        </w:rPr>
      </w:pPr>
      <w:r>
        <w:rPr>
          <w:rFonts w:eastAsia="Times New Roman"/>
          <w:b/>
          <w:sz w:val="24"/>
          <w:szCs w:val="24"/>
        </w:rPr>
        <w:t>Abstract—</w:t>
      </w:r>
      <w:r>
        <w:rPr>
          <w:rFonts w:eastAsia="Times New Roman"/>
          <w:sz w:val="24"/>
          <w:szCs w:val="24"/>
        </w:rPr>
        <w:t xml:space="preserve"> Business email compromise and synthetic media attacks exploit trust across communication channels. SynthGuard is a locally deployed research prototype that routes email, audio, and video evidence to separate classifiers and combines the available scores through an interpretable late-fusion rule. The implementation comprises a DistilBERT email classifier, an MFCC-based convolutional audio model, an MTCNN face-detection stage with an EfficientNet-B0 video classifier, a FastAPI inference service, and a React analyst interface. This paper documents the current implementation and audits the evaluation evidence available for the active checkpoints. A current-checkpoint email re-score produced 94.95% accuracy on the saved 3,508-row test file. A reconstructed 500-row audio sample yielded 98.8% accuracy, but only 51 records were genuine; the resulting 9.80% false-positive rate is based on five errors and is too weakly supported to serve as a reliable operating estimate. Neither result has verified checkpoint-to-split lineage or source-disjoint provenance. The active video checkpoint has no documented held-out test metrics, and no genuinely paired multimodal test set is available. These are diagnostic observations, not validated generalization estimates. SynthGuard demonstrates an integrated local workflow; comparative effectiveness remains open.</w:t>
      </w:r>
    </w:p>
    <w:p>
      <w:pPr>
        <w:pStyle w:val="Normal"/>
        <w:rPr>
          <w:sz w:val="24"/>
          <w:szCs w:val="24"/>
        </w:rPr>
      </w:pPr>
      <w:r>
        <w:rPr>
          <w:rFonts w:eastAsia="Times New Roman"/>
          <w:sz w:val="24"/>
          <w:szCs w:val="24"/>
        </w:rPr>
        <w:t>Keywords—business email compromise, phishing detection, speech spoofing, deepfake video, multimodal late fusion, local inference, evaluation provenance.</w:t>
      </w:r>
    </w:p>
    <w:p>
      <w:pPr>
        <w:pStyle w:val="Heading1"/>
        <w:jc w:val="left"/>
        <w:rPr>
          <w:sz w:val="24"/>
          <w:szCs w:val="24"/>
        </w:rPr>
      </w:pPr>
      <w:r>
        <w:rPr>
          <w:sz w:val="24"/>
          <w:szCs w:val="24"/>
        </w:rPr>
        <w:t>I. INTRODUCTION</w:t>
      </w:r>
    </w:p>
    <w:p>
      <w:pPr>
        <w:pStyle w:val="Normal"/>
        <w:rPr>
          <w:sz w:val="24"/>
          <w:szCs w:val="24"/>
        </w:rPr>
      </w:pPr>
      <w:r>
        <w:rPr>
          <w:rFonts w:eastAsia="Times New Roman"/>
          <w:sz w:val="24"/>
          <w:szCs w:val="24"/>
        </w:rPr>
        <w:t>Business email compromise (BEC) attacks use impersonation, urgency, secrecy, and payment redirection to induce actions that routine spam filters may not identify. Synthetic speech and manipulated video can strengthen the impersonation by supplying apparently familiar biometric cues. These threats are related at the level of an investigation, but each data type exposes different evidence: language conveys intent, audio contains acoustic artifacts, and video contains spatial or temporal manipulation traces.</w:t>
      </w:r>
    </w:p>
    <w:p>
      <w:pPr>
        <w:pStyle w:val="Normal"/>
        <w:rPr>
          <w:sz w:val="24"/>
          <w:szCs w:val="24"/>
        </w:rPr>
      </w:pPr>
      <w:r>
        <w:rPr>
          <w:rFonts w:eastAsia="Times New Roman"/>
          <w:sz w:val="24"/>
          <w:szCs w:val="24"/>
        </w:rPr>
        <w:t>A practical analyst tool should support independent modality review and combined analysis when evidence is available. Combining scores, however, does not by itself establish that the inputs belong to the same incident, that the scores are calibrated to a common scale, or that an overall accuracy figure is meaningful. The study therefore treats implementation and evaluation as separate questions. The first is whether a local system can route the three evidence types through dedicated inference paths. The second is whether the resulting decisions generalize to unseen data and coherent multimodal cases.</w:t>
      </w:r>
    </w:p>
    <w:p>
      <w:pPr>
        <w:pStyle w:val="Normal"/>
        <w:rPr>
          <w:sz w:val="24"/>
          <w:szCs w:val="24"/>
        </w:rPr>
      </w:pPr>
      <w:r>
        <w:rPr>
          <w:rFonts w:eastAsia="Times New Roman"/>
          <w:sz w:val="24"/>
          <w:szCs w:val="24"/>
        </w:rPr>
        <w:t>This work presents SynthGuard, a prototype that integrates local text, audio, and video detectors behind a FastAPI service and an analyst-facing React interface. The paper contributes: (1) a reproducible description of the implemented sensor and fusion paths; (2) an audit of the saved evaluation artifacts and checkpoint identity; and (3) a methodological analysis of why label-matched independent samples cannot establish multimodal performance. It also specifies a source-disjoint, incident-paired evaluation protocol. The paper does not claim a validated multimodal accuracy advantage.</w:t>
      </w:r>
    </w:p>
    <w:p>
      <w:pPr>
        <w:pStyle w:val="Normal"/>
        <w:rPr>
          <w:sz w:val="24"/>
          <w:szCs w:val="24"/>
        </w:rPr>
      </w:pPr>
      <w:r>
        <w:rPr>
          <w:rFonts w:eastAsia="Times New Roman"/>
          <w:sz w:val="24"/>
          <w:szCs w:val="24"/>
        </w:rPr>
        <w:t>The research is organized around three questions. RQ1 asks whether a single local application can process text, audio, and video through distinct inference paths while supporting missing modalities. RQ2 asks what performance evidence can be attributed to the checkpoints currently loaded by the application. RQ3 asks whether the implemented mean-and-veto rule has demonstrated an advantage over individual sensors. The repository establishes an implementation answer for RQ1 and provides qualified diagnostic evidence for RQ2. RQ3 remains unanswered as a performance question; the study’s methodological finding is that fusion claims require incident-level pairing and source-aware partitions, neither of which the available artifacts establish.</w:t>
      </w:r>
    </w:p>
    <w:p>
      <w:pPr>
        <w:pStyle w:val="Normal"/>
        <w:rPr>
          <w:sz w:val="24"/>
          <w:szCs w:val="24"/>
        </w:rPr>
      </w:pPr>
      <w:r>
        <w:rPr>
          <w:rFonts w:eastAsia="Times New Roman"/>
          <w:sz w:val="24"/>
          <w:szCs w:val="24"/>
        </w:rPr>
        <w:t>The intended use is analyst-assisted triage of uploaded communication evidence. The prototype is not designed to authenticate a sender, establish legal intent, inspect email attachments, verify transaction records, monitor live calls, or automatically block a payment. Its scores are indicators for human review rather than determinations of identity or fraud.</w:t>
      </w:r>
    </w:p>
    <w:p>
      <w:pPr>
        <w:pStyle w:val="Heading1"/>
        <w:jc w:val="left"/>
        <w:rPr>
          <w:sz w:val="24"/>
          <w:szCs w:val="24"/>
        </w:rPr>
      </w:pPr>
      <w:r>
        <w:rPr>
          <w:sz w:val="24"/>
          <w:szCs w:val="24"/>
        </w:rPr>
        <w:t>II. RELATED WORK</w:t>
      </w:r>
    </w:p>
    <w:p>
      <w:pPr>
        <w:pStyle w:val="Normal"/>
        <w:rPr>
          <w:sz w:val="24"/>
          <w:szCs w:val="24"/>
        </w:rPr>
      </w:pPr>
      <w:r>
        <w:rPr>
          <w:rFonts w:eastAsia="Times New Roman"/>
          <w:sz w:val="24"/>
          <w:szCs w:val="24"/>
        </w:rPr>
        <w:t>Transformer encoders have become common for contextual text classification. DistilBERT uses knowledge distillation to reduce model size and inference cost while retaining much of the representational capacity of BERT [1]. SynthGuard uses a fine-tuned DistilBERT sequence classifier for email text. This choice supports contextual analysis, but text classification can still overreact to benign terms or miss a new attack pattern; a score should be interpreted with the email and its organizational context.</w:t>
      </w:r>
    </w:p>
    <w:p>
      <w:pPr>
        <w:pStyle w:val="Normal"/>
        <w:rPr>
          <w:sz w:val="24"/>
          <w:szCs w:val="24"/>
        </w:rPr>
      </w:pPr>
      <w:r>
        <w:rPr>
          <w:rFonts w:eastAsia="Times New Roman"/>
          <w:sz w:val="24"/>
          <w:szCs w:val="24"/>
        </w:rPr>
        <w:t>Audio spoofing research is represented by the ASVspoof challenges, which provide bonafide and spoofed speech data, attack metadata, evaluation protocols, and baseline systems [2]. Mel-frequency cepstral coefficients (MFCCs) are a compact representation of short-time spectral shape originating in speech-recognition research [3]. SynthGuard extracts MFCC features and classifies them with a convolutional neural network. Results on a random sample split cannot be equated with performance under a speaker-, session-, or attack-disjoint protocol.</w:t>
      </w:r>
    </w:p>
    <w:p>
      <w:pPr>
        <w:pStyle w:val="Normal"/>
        <w:rPr>
          <w:sz w:val="24"/>
          <w:szCs w:val="24"/>
        </w:rPr>
      </w:pPr>
      <w:r>
        <w:rPr>
          <w:rFonts w:eastAsia="Times New Roman"/>
          <w:sz w:val="24"/>
          <w:szCs w:val="24"/>
        </w:rPr>
        <w:t>For video, FaceForensics++ provides manipulated facial imagery and explicitly studies compression effects [4]. MTCNN jointly detects and aligns faces through a cascaded multi-task network [5]. EfficientNet scales convolutional networks through coordinated depth, width, and resolution choices [6]. These methods motivate the face-crop pipeline used by SynthGuard, but published benchmark results for those methods are not evidence of this project checkpoint’s performance.</w:t>
      </w:r>
    </w:p>
    <w:p>
      <w:pPr>
        <w:pStyle w:val="Normal"/>
        <w:rPr>
          <w:sz w:val="24"/>
          <w:szCs w:val="24"/>
        </w:rPr>
      </w:pPr>
      <w:r>
        <w:rPr>
          <w:rFonts w:eastAsia="Times New Roman"/>
          <w:sz w:val="24"/>
          <w:szCs w:val="24"/>
        </w:rPr>
        <w:t>Classifier combination has a long history, including rules that aggregate separate classifier outputs [7]. Contemporary audio-visual deepfake work also studies feature-level and cross-modal relationships rather than assuming that independent classifier scores are directly comparable [8]. SynthGuard adopts a simpler score-level rule for transparency and partial-modality support. Its mean-and-veto rule is an engineering choice requiring evaluation against alternatives; it is not presented as a state-of-the-art fusion method.</w:t>
      </w:r>
    </w:p>
    <w:p>
      <w:pPr>
        <w:pStyle w:val="Heading1"/>
        <w:jc w:val="left"/>
        <w:rPr>
          <w:sz w:val="24"/>
          <w:szCs w:val="24"/>
        </w:rPr>
      </w:pPr>
      <w:r>
        <w:rPr>
          <w:sz w:val="24"/>
          <w:szCs w:val="24"/>
        </w:rPr>
        <w:t>III. RESEARCH DESIGN AND EVALUATION PROTOCOL</w:t>
      </w:r>
    </w:p>
    <w:p>
      <w:pPr>
        <w:pStyle w:val="Heading2"/>
        <w:rPr>
          <w:sz w:val="24"/>
          <w:szCs w:val="24"/>
        </w:rPr>
      </w:pPr>
      <w:r>
        <w:rPr>
          <w:sz w:val="24"/>
          <w:szCs w:val="24"/>
        </w:rPr>
        <w:t>A. Study design and unit of analysis</w:t>
      </w:r>
    </w:p>
    <w:p>
      <w:pPr>
        <w:pStyle w:val="Normal"/>
        <w:rPr>
          <w:sz w:val="24"/>
          <w:szCs w:val="24"/>
        </w:rPr>
      </w:pPr>
      <w:r>
        <w:rPr>
          <w:rFonts w:eastAsia="Times New Roman"/>
          <w:sz w:val="24"/>
          <w:szCs w:val="24"/>
        </w:rPr>
        <w:t>The implemented prototype is evaluated here through an artifact-based study: model configuration, preprocessing code, checkpoints, saved predictions, evaluation summaries, and analyst-interface outputs are inspected together. A prediction row is the unit of analysis for single-modality re-scores. A multimodal case must instead be defined as one coherent incident with one or more corresponding evidence items; it cannot be created by matching unrelated records because they share a threat label. The current project artifacts do not contain a verified paired incident set, so the paper separates software integration observations from classifier-performance estimates.</w:t>
      </w:r>
    </w:p>
    <w:p>
      <w:pPr>
        <w:pStyle w:val="Heading2"/>
        <w:rPr>
          <w:sz w:val="24"/>
          <w:szCs w:val="24"/>
        </w:rPr>
      </w:pPr>
      <w:r>
        <w:rPr>
          <w:sz w:val="24"/>
          <w:szCs w:val="24"/>
        </w:rPr>
        <w:t>B. Data records and partition provenance</w:t>
      </w:r>
    </w:p>
    <w:p>
      <w:pPr>
        <w:pStyle w:val="Normal"/>
        <w:rPr>
          <w:sz w:val="24"/>
          <w:szCs w:val="24"/>
        </w:rPr>
      </w:pPr>
      <w:r>
        <w:rPr>
          <w:rFonts w:eastAsia="Times New Roman"/>
          <w:sz w:val="24"/>
          <w:szCs w:val="24"/>
        </w:rPr>
        <w:t>The email evaluation file contains 3,508 labeled records. The available training code loads prebuilt train and test pickle objects, while the active checkpoint was later updated for additional threat patterns. The artifact bundle records hashes for the current test file and checkpoint, but does not provide a complete lineage proving that the current weights were selected without access to this test split. This distinction matters: reproducible scoring of a file is not equivalent to an independent test when model selection may have used the same examples.</w:t>
      </w:r>
    </w:p>
    <w:p>
      <w:pPr>
        <w:pStyle w:val="Normal"/>
        <w:rPr>
          <w:sz w:val="24"/>
          <w:szCs w:val="24"/>
        </w:rPr>
      </w:pPr>
      <w:r>
        <w:rPr>
          <w:rFonts w:eastAsia="Times New Roman"/>
          <w:sz w:val="24"/>
          <w:szCs w:val="24"/>
        </w:rPr>
        <w:t>The audio feature cache contains 181,566 rows distributed across ten serialized batches. The reconstruction script follows the documented lexicographic file order and recreates a 500-row stratified sample-level test partition using random_state 42. It has no speaker, session, or source identifiers. The video training record describes a random partition of 10,000 face tensors, but the saved log does not preserve an actor, source-video, or clip grouping manifest. A stronger evaluation would assign all samples from each email thread or campaign, speaker/session, and source video to exactly one partition before extracting windows, frames, or derivative features.</w:t>
      </w:r>
    </w:p>
    <w:p>
      <w:pPr>
        <w:pStyle w:val="Heading2"/>
        <w:rPr>
          <w:sz w:val="24"/>
          <w:szCs w:val="24"/>
        </w:rPr>
      </w:pPr>
      <w:r>
        <w:rPr>
          <w:sz w:val="24"/>
          <w:szCs w:val="24"/>
        </w:rPr>
        <w:t>C. Scoring procedure and thresholds</w:t>
      </w:r>
    </w:p>
    <w:p>
      <w:pPr>
        <w:pStyle w:val="Normal"/>
        <w:rPr>
          <w:sz w:val="24"/>
          <w:szCs w:val="24"/>
        </w:rPr>
      </w:pPr>
      <w:r>
        <w:rPr>
          <w:rFonts w:eastAsia="Times New Roman"/>
          <w:sz w:val="24"/>
          <w:szCs w:val="24"/>
        </w:rPr>
        <w:t>For the diagnostic email re-score, every row in the saved test file was sent to the active local API and labeled at a 0.50 score threshold. The evaluation record notes one input clipped at the API limit; both inclusive and unclipped counts are retained. The audio reconstruction was scored at both 0.50, matching the notebook validation decision rule, and 0.45, the backend operating threshold. The two thresholds yield identical decisions on the reconstructed sample, but this coincidence does not validate either threshold for other populations. The active video checkpoint has no test score file. Its configured 0.7920 raw-score recentering value is not re-estimated from the evaluated records in this study.</w:t>
      </w:r>
    </w:p>
    <w:p>
      <w:pPr>
        <w:pStyle w:val="Heading2"/>
        <w:rPr>
          <w:sz w:val="24"/>
          <w:szCs w:val="24"/>
        </w:rPr>
      </w:pPr>
      <w:r>
        <w:rPr>
          <w:sz w:val="24"/>
          <w:szCs w:val="24"/>
        </w:rPr>
        <w:t>D. Measures and uncertainty</w:t>
      </w:r>
    </w:p>
    <w:p>
      <w:pPr>
        <w:pStyle w:val="Normal"/>
        <w:rPr>
          <w:sz w:val="24"/>
          <w:szCs w:val="24"/>
        </w:rPr>
      </w:pPr>
      <w:r>
        <w:rPr>
          <w:rFonts w:eastAsia="Times New Roman"/>
          <w:sz w:val="24"/>
          <w:szCs w:val="24"/>
        </w:rPr>
        <w:t>Threat is treated as the positive class. Accuracy summarizes overall agreement, while precision and recall describe threat alerts and detected threats; FPR measures benign records incorrectly flagged, and FNR measures missed threats. For speech anti-spoof research, equal error rate can provide a threshold-independent operating summary when computed from a complete labeled score set. The local audio notebook records validation EER across epochs, but its test portion is not scored there and its selected checkpoint state is not independently preserved in the excerpt. The present paper therefore reports the reconstructed test confusion counts rather than using that validation EER as a test result.</w:t>
      </w:r>
    </w:p>
    <w:p>
      <w:pPr>
        <w:pStyle w:val="Normal"/>
        <w:rPr>
          <w:sz w:val="24"/>
          <w:szCs w:val="24"/>
        </w:rPr>
      </w:pPr>
      <w:r>
        <w:rPr>
          <w:rFonts w:eastAsia="Times New Roman"/>
          <w:sz w:val="24"/>
          <w:szCs w:val="24"/>
        </w:rPr>
        <w:t>A confirmatory study should freeze preprocessing, weights, and thresholds before test scoring; report support and uncertainty intervals alongside each metric; and use source-group bootstrap resampling where records share an actor, speaker, thread, or source clip. It should report per-sample prediction files and checkpoint hashes so aggregate values can be independently recomputed. Fusion results should be stratified by each available modality subset, since coverage and error rates can differ substantially between email-only, biometric-only, and genuinely multimodal cases.</w:t>
      </w:r>
    </w:p>
    <w:p>
      <w:pPr>
        <w:pStyle w:val="Heading2"/>
        <w:rPr>
          <w:sz w:val="24"/>
          <w:szCs w:val="24"/>
        </w:rPr>
      </w:pPr>
      <w:r>
        <w:rPr>
          <w:sz w:val="24"/>
          <w:szCs w:val="24"/>
        </w:rPr>
        <w:t>E. Reproducibility criteria</w:t>
      </w:r>
    </w:p>
    <w:p>
      <w:pPr>
        <w:pStyle w:val="Normal"/>
        <w:rPr>
          <w:sz w:val="24"/>
          <w:szCs w:val="24"/>
        </w:rPr>
      </w:pPr>
      <w:r>
        <w:rPr>
          <w:rFonts w:eastAsia="Times New Roman"/>
          <w:sz w:val="24"/>
          <w:szCs w:val="24"/>
        </w:rPr>
        <w:t>A result is considered traceable when its report identifies the exact test manifest and hash, active checkpoint hash, preprocessing version, threshold, label mapping, sample count, confusion matrix, and code revision. For group-aware testing, it also records the grouping key and demonstrates no group overlap between train, validation, and test. The current email and audio re-score artifacts satisfy several reporting requirements, including per-sample outputs and model/file hashes, but not all lineage and group-separation criteria. The video and fusion results lack the required test artifacts. This protocol guides interpretation of the evidence below and the next reproducible evaluation run.</w:t>
      </w:r>
    </w:p>
    <w:p>
      <w:pPr>
        <w:pStyle w:val="Heading1"/>
        <w:jc w:val="left"/>
        <w:rPr>
          <w:sz w:val="24"/>
          <w:szCs w:val="24"/>
        </w:rPr>
      </w:pPr>
      <w:r>
        <w:rPr>
          <w:sz w:val="24"/>
          <w:szCs w:val="24"/>
        </w:rPr>
        <w:t>IV. SYSTEM ARCHITECTURE AND METHODS</w:t>
      </w:r>
    </w:p>
    <w:p>
      <w:pPr>
        <w:pStyle w:val="Normal"/>
        <w:rPr>
          <w:sz w:val="24"/>
          <w:szCs w:val="24"/>
        </w:rPr>
      </w:pPr>
      <w:r>
        <w:rPr>
          <w:rFonts w:eastAsia="Times New Roman"/>
          <w:sz w:val="24"/>
          <w:szCs w:val="24"/>
        </w:rPr>
        <w:t>The application has three layers. The React client accepts text and media, displays modality-specific outputs, and requests analyses from the local API. FastAPI validates requests, stores uploaded media in temporary files for inference, and dispatches each present modality to its model. The inference layer loads local model weights and returns scores, verdicts, identifiers, timestamps, and forensic indicators. Docker Compose packages the frontend and backend for local operation [9]. The configuration uses local inference services and does not call a hosted model API; this software design alone does not prove that the host is physically air-gapped.</w:t>
      </w:r>
    </w:p>
    <w:tbl>
      <w:tblPr>
        <w:tblStyle w:val="TableGrid"/>
        <w:tblW w:w="9000" w:type="dxa"/>
        <w:jc w:val="center"/>
        <w:tblInd w:w="0" w:type="dxa"/>
        <w:tblLayout w:type="fixed"/>
        <w:tblCellMar>
          <w:top w:w="70" w:type="dxa"/>
          <w:left w:w="90" w:type="dxa"/>
          <w:bottom w:w="70" w:type="dxa"/>
          <w:right w:w="90" w:type="dxa"/>
        </w:tblCellMar>
        <w:tblLook w:val="04a0" w:noHBand="0" w:noVBand="1" w:firstColumn="1" w:lastRow="0" w:lastColumn="0" w:firstRow="1"/>
      </w:tblPr>
      <w:tblGrid>
        <w:gridCol w:w="1656"/>
        <w:gridCol w:w="4680"/>
        <w:gridCol w:w="2664"/>
      </w:tblGrid>
      <w:tr>
        <w:trPr>
          <w:tblHeader w:val="true"/>
          <w:cantSplit w:val="true"/>
        </w:trPr>
        <w:tc>
          <w:tcPr>
            <w:tcW w:w="1656" w:type="dxa"/>
            <w:tcBorders/>
            <w:shd w:fill="D9E2F3"/>
            <w:vAlign w:val="center"/>
          </w:tcPr>
          <w:p>
            <w:pPr>
              <w:pStyle w:val="Normal"/>
              <w:widowControl/>
              <w:spacing w:lineRule="auto" w:line="240" w:before="0" w:after="0"/>
              <w:rPr>
                <w:rFonts w:cs=""/>
                <w:kern w:val="2"/>
                <w:sz w:val="24"/>
                <w:szCs w:val="24"/>
                <w:lang w:val="en-IN" w:eastAsia="en-US" w:bidi="ar-SA"/>
              </w:rPr>
            </w:pPr>
            <w:r>
              <w:rPr>
                <w:rFonts w:eastAsia="Times New Roman" w:cs=""/>
                <w:b/>
                <w:color w:val="000000"/>
                <w:kern w:val="2"/>
                <w:sz w:val="24"/>
                <w:szCs w:val="24"/>
                <w:lang w:val="en-IN" w:eastAsia="en-US" w:bidi="ar-SA"/>
              </w:rPr>
              <w:t>Evidence input</w:t>
            </w:r>
          </w:p>
        </w:tc>
        <w:tc>
          <w:tcPr>
            <w:tcW w:w="4680" w:type="dxa"/>
            <w:tcBorders/>
            <w:shd w:fill="D9E2F3"/>
            <w:vAlign w:val="center"/>
          </w:tcPr>
          <w:p>
            <w:pPr>
              <w:pStyle w:val="Normal"/>
              <w:widowControl/>
              <w:spacing w:lineRule="auto" w:line="240" w:before="0" w:after="0"/>
              <w:rPr>
                <w:rFonts w:cs=""/>
                <w:kern w:val="2"/>
                <w:sz w:val="24"/>
                <w:szCs w:val="24"/>
                <w:lang w:val="en-IN" w:eastAsia="en-US" w:bidi="ar-SA"/>
              </w:rPr>
            </w:pPr>
            <w:r>
              <w:rPr>
                <w:rFonts w:eastAsia="Times New Roman" w:cs=""/>
                <w:b/>
                <w:color w:val="000000"/>
                <w:kern w:val="2"/>
                <w:sz w:val="24"/>
                <w:szCs w:val="24"/>
                <w:lang w:val="en-IN" w:eastAsia="en-US" w:bidi="ar-SA"/>
              </w:rPr>
              <w:t>Processing path</w:t>
            </w:r>
          </w:p>
        </w:tc>
        <w:tc>
          <w:tcPr>
            <w:tcW w:w="2664" w:type="dxa"/>
            <w:tcBorders/>
            <w:shd w:fill="D9E2F3"/>
            <w:vAlign w:val="center"/>
          </w:tcPr>
          <w:p>
            <w:pPr>
              <w:pStyle w:val="Normal"/>
              <w:widowControl/>
              <w:spacing w:lineRule="auto" w:line="240" w:before="0" w:after="0"/>
              <w:rPr>
                <w:rFonts w:cs=""/>
                <w:kern w:val="2"/>
                <w:sz w:val="24"/>
                <w:szCs w:val="24"/>
                <w:lang w:val="en-IN" w:eastAsia="en-US" w:bidi="ar-SA"/>
              </w:rPr>
            </w:pPr>
            <w:r>
              <w:rPr>
                <w:rFonts w:eastAsia="Times New Roman" w:cs=""/>
                <w:b/>
                <w:color w:val="000000"/>
                <w:kern w:val="2"/>
                <w:sz w:val="24"/>
                <w:szCs w:val="24"/>
                <w:lang w:val="en-IN" w:eastAsia="en-US" w:bidi="ar-SA"/>
              </w:rPr>
              <w:t>Output used by fusion</w:t>
            </w:r>
          </w:p>
        </w:tc>
      </w:tr>
      <w:tr>
        <w:trPr>
          <w:cantSplit w:val="true"/>
        </w:trPr>
        <w:tc>
          <w:tcPr>
            <w:tcW w:w="1656" w:type="dxa"/>
            <w:tcBorders/>
            <w:vAlign w:val="center"/>
          </w:tcPr>
          <w:p>
            <w:pPr>
              <w:pStyle w:val="Normal"/>
              <w:widowControl/>
              <w:spacing w:lineRule="auto" w:line="240" w:before="0" w:after="0"/>
              <w:rPr>
                <w:rFonts w:cs=""/>
                <w:kern w:val="2"/>
                <w:sz w:val="24"/>
                <w:szCs w:val="24"/>
                <w:lang w:val="en-IN" w:eastAsia="en-US" w:bidi="ar-SA"/>
              </w:rPr>
            </w:pPr>
            <w:r>
              <w:rPr>
                <w:rFonts w:eastAsia="Times New Roman" w:cs=""/>
                <w:b w:val="false"/>
                <w:color w:val="000000"/>
                <w:kern w:val="2"/>
                <w:sz w:val="24"/>
                <w:szCs w:val="24"/>
                <w:lang w:val="en-IN" w:eastAsia="en-US" w:bidi="ar-SA"/>
              </w:rPr>
              <w:t>Email text</w:t>
            </w:r>
          </w:p>
        </w:tc>
        <w:tc>
          <w:tcPr>
            <w:tcW w:w="4680" w:type="dxa"/>
            <w:tcBorders/>
            <w:vAlign w:val="center"/>
          </w:tcPr>
          <w:p>
            <w:pPr>
              <w:pStyle w:val="Normal"/>
              <w:widowControl/>
              <w:spacing w:lineRule="auto" w:line="240" w:before="0" w:after="0"/>
              <w:rPr>
                <w:rFonts w:cs=""/>
                <w:kern w:val="2"/>
                <w:sz w:val="24"/>
                <w:szCs w:val="24"/>
                <w:lang w:val="en-IN" w:eastAsia="en-US" w:bidi="ar-SA"/>
              </w:rPr>
            </w:pPr>
            <w:r>
              <w:rPr>
                <w:rFonts w:eastAsia="Times New Roman" w:cs=""/>
                <w:b w:val="false"/>
                <w:color w:val="000000"/>
                <w:kern w:val="2"/>
                <w:sz w:val="24"/>
                <w:szCs w:val="24"/>
                <w:lang w:val="en-IN" w:eastAsia="en-US" w:bidi="ar-SA"/>
              </w:rPr>
              <w:t>Tokenizer → fine-tuned DistilBERT → class-1 score</w:t>
            </w:r>
          </w:p>
        </w:tc>
        <w:tc>
          <w:tcPr>
            <w:tcW w:w="2664" w:type="dxa"/>
            <w:tcBorders/>
            <w:vAlign w:val="center"/>
          </w:tcPr>
          <w:p>
            <w:pPr>
              <w:pStyle w:val="Normal"/>
              <w:widowControl/>
              <w:spacing w:lineRule="auto" w:line="240" w:before="0" w:after="0"/>
              <w:rPr>
                <w:rFonts w:cs=""/>
                <w:kern w:val="2"/>
                <w:sz w:val="24"/>
                <w:szCs w:val="24"/>
                <w:lang w:val="en-IN" w:eastAsia="en-US" w:bidi="ar-SA"/>
              </w:rPr>
            </w:pPr>
            <w:r>
              <w:rPr>
                <w:rFonts w:eastAsia="Times New Roman" w:cs=""/>
                <w:b w:val="false"/>
                <w:color w:val="000000"/>
                <w:kern w:val="2"/>
                <w:sz w:val="24"/>
                <w:szCs w:val="24"/>
                <w:lang w:val="en-IN" w:eastAsia="en-US" w:bidi="ar-SA"/>
              </w:rPr>
              <w:t>Email threat score sₑ</w:t>
            </w:r>
          </w:p>
        </w:tc>
      </w:tr>
      <w:tr>
        <w:trPr>
          <w:cantSplit w:val="true"/>
        </w:trPr>
        <w:tc>
          <w:tcPr>
            <w:tcW w:w="1656" w:type="dxa"/>
            <w:tcBorders/>
            <w:vAlign w:val="center"/>
          </w:tcPr>
          <w:p>
            <w:pPr>
              <w:pStyle w:val="Normal"/>
              <w:widowControl/>
              <w:spacing w:lineRule="auto" w:line="240" w:before="0" w:after="0"/>
              <w:rPr>
                <w:rFonts w:cs=""/>
                <w:kern w:val="2"/>
                <w:sz w:val="24"/>
                <w:szCs w:val="24"/>
                <w:lang w:val="en-IN" w:eastAsia="en-US" w:bidi="ar-SA"/>
              </w:rPr>
            </w:pPr>
            <w:r>
              <w:rPr>
                <w:rFonts w:eastAsia="Times New Roman" w:cs=""/>
                <w:b w:val="false"/>
                <w:color w:val="000000"/>
                <w:kern w:val="2"/>
                <w:sz w:val="24"/>
                <w:szCs w:val="24"/>
                <w:lang w:val="en-IN" w:eastAsia="en-US" w:bidi="ar-SA"/>
              </w:rPr>
              <w:t>Audio file</w:t>
            </w:r>
          </w:p>
        </w:tc>
        <w:tc>
          <w:tcPr>
            <w:tcW w:w="4680" w:type="dxa"/>
            <w:tcBorders/>
            <w:vAlign w:val="center"/>
          </w:tcPr>
          <w:p>
            <w:pPr>
              <w:pStyle w:val="Normal"/>
              <w:widowControl/>
              <w:spacing w:lineRule="auto" w:line="240" w:before="0" w:after="0"/>
              <w:rPr>
                <w:rFonts w:cs=""/>
                <w:kern w:val="2"/>
                <w:sz w:val="24"/>
                <w:szCs w:val="24"/>
                <w:lang w:val="en-IN" w:eastAsia="en-US" w:bidi="ar-SA"/>
              </w:rPr>
            </w:pPr>
            <w:r>
              <w:rPr>
                <w:rFonts w:eastAsia="Times New Roman" w:cs=""/>
                <w:b w:val="false"/>
                <w:color w:val="000000"/>
                <w:kern w:val="2"/>
                <w:sz w:val="24"/>
                <w:szCs w:val="24"/>
                <w:lang w:val="en-IN" w:eastAsia="en-US" w:bidi="ar-SA"/>
              </w:rPr>
              <w:t>16 kHz resampling → 40 MFCCs → CNN → sigmoid</w:t>
            </w:r>
          </w:p>
        </w:tc>
        <w:tc>
          <w:tcPr>
            <w:tcW w:w="2664" w:type="dxa"/>
            <w:tcBorders/>
            <w:vAlign w:val="center"/>
          </w:tcPr>
          <w:p>
            <w:pPr>
              <w:pStyle w:val="Normal"/>
              <w:widowControl/>
              <w:spacing w:lineRule="auto" w:line="240" w:before="0" w:after="0"/>
              <w:rPr>
                <w:rFonts w:cs=""/>
                <w:kern w:val="2"/>
                <w:sz w:val="24"/>
                <w:szCs w:val="24"/>
                <w:lang w:val="en-IN" w:eastAsia="en-US" w:bidi="ar-SA"/>
              </w:rPr>
            </w:pPr>
            <w:r>
              <w:rPr>
                <w:rFonts w:eastAsia="Times New Roman" w:cs=""/>
                <w:b w:val="false"/>
                <w:color w:val="000000"/>
                <w:kern w:val="2"/>
                <w:sz w:val="24"/>
                <w:szCs w:val="24"/>
                <w:lang w:val="en-IN" w:eastAsia="en-US" w:bidi="ar-SA"/>
              </w:rPr>
              <w:t>Spoof score sₐ</w:t>
            </w:r>
          </w:p>
        </w:tc>
      </w:tr>
      <w:tr>
        <w:trPr>
          <w:cantSplit w:val="true"/>
        </w:trPr>
        <w:tc>
          <w:tcPr>
            <w:tcW w:w="1656" w:type="dxa"/>
            <w:tcBorders/>
            <w:vAlign w:val="center"/>
          </w:tcPr>
          <w:p>
            <w:pPr>
              <w:pStyle w:val="Normal"/>
              <w:widowControl/>
              <w:spacing w:lineRule="auto" w:line="240" w:before="0" w:after="0"/>
              <w:rPr>
                <w:rFonts w:cs=""/>
                <w:kern w:val="2"/>
                <w:sz w:val="24"/>
                <w:szCs w:val="24"/>
                <w:lang w:val="en-IN" w:eastAsia="en-US" w:bidi="ar-SA"/>
              </w:rPr>
            </w:pPr>
            <w:r>
              <w:rPr>
                <w:rFonts w:eastAsia="Times New Roman" w:cs=""/>
                <w:b w:val="false"/>
                <w:color w:val="000000"/>
                <w:kern w:val="2"/>
                <w:sz w:val="24"/>
                <w:szCs w:val="24"/>
                <w:lang w:val="en-IN" w:eastAsia="en-US" w:bidi="ar-SA"/>
              </w:rPr>
              <w:t>Video file</w:t>
            </w:r>
          </w:p>
        </w:tc>
        <w:tc>
          <w:tcPr>
            <w:tcW w:w="4680" w:type="dxa"/>
            <w:tcBorders/>
            <w:vAlign w:val="center"/>
          </w:tcPr>
          <w:p>
            <w:pPr>
              <w:pStyle w:val="Normal"/>
              <w:widowControl/>
              <w:spacing w:lineRule="auto" w:line="240" w:before="0" w:after="0"/>
              <w:rPr>
                <w:rFonts w:cs=""/>
                <w:kern w:val="2"/>
                <w:sz w:val="24"/>
                <w:szCs w:val="24"/>
                <w:lang w:val="en-IN" w:eastAsia="en-US" w:bidi="ar-SA"/>
              </w:rPr>
            </w:pPr>
            <w:r>
              <w:rPr>
                <w:rFonts w:eastAsia="Times New Roman" w:cs=""/>
                <w:b w:val="false"/>
                <w:color w:val="000000"/>
                <w:kern w:val="2"/>
                <w:sz w:val="24"/>
                <w:szCs w:val="24"/>
                <w:lang w:val="en-IN" w:eastAsia="en-US" w:bidi="ar-SA"/>
              </w:rPr>
              <w:t>Frame sampling → MTCNN face ROI → EfficientNet-B0 → mean score</w:t>
            </w:r>
          </w:p>
        </w:tc>
        <w:tc>
          <w:tcPr>
            <w:tcW w:w="2664" w:type="dxa"/>
            <w:tcBorders/>
            <w:vAlign w:val="center"/>
          </w:tcPr>
          <w:p>
            <w:pPr>
              <w:pStyle w:val="Normal"/>
              <w:widowControl/>
              <w:spacing w:lineRule="auto" w:line="240" w:before="0" w:after="0"/>
              <w:rPr>
                <w:rFonts w:cs=""/>
                <w:kern w:val="2"/>
                <w:sz w:val="24"/>
                <w:szCs w:val="24"/>
                <w:lang w:val="en-IN" w:eastAsia="en-US" w:bidi="ar-SA"/>
              </w:rPr>
            </w:pPr>
            <w:r>
              <w:rPr>
                <w:rFonts w:eastAsia="Times New Roman" w:cs=""/>
                <w:b w:val="false"/>
                <w:color w:val="000000"/>
                <w:kern w:val="2"/>
                <w:sz w:val="24"/>
                <w:szCs w:val="24"/>
                <w:lang w:val="en-IN" w:eastAsia="en-US" w:bidi="ar-SA"/>
              </w:rPr>
              <w:t>Manipulation score sᵥ</w:t>
            </w:r>
          </w:p>
        </w:tc>
      </w:tr>
      <w:tr>
        <w:trPr>
          <w:cantSplit w:val="true"/>
        </w:trPr>
        <w:tc>
          <w:tcPr>
            <w:tcW w:w="1656" w:type="dxa"/>
            <w:tcBorders/>
            <w:vAlign w:val="center"/>
          </w:tcPr>
          <w:p>
            <w:pPr>
              <w:pStyle w:val="Normal"/>
              <w:widowControl/>
              <w:spacing w:lineRule="auto" w:line="240" w:before="0" w:after="0"/>
              <w:rPr>
                <w:rFonts w:cs=""/>
                <w:kern w:val="2"/>
                <w:sz w:val="24"/>
                <w:szCs w:val="24"/>
                <w:lang w:val="en-IN" w:eastAsia="en-US" w:bidi="ar-SA"/>
              </w:rPr>
            </w:pPr>
            <w:r>
              <w:rPr>
                <w:rFonts w:eastAsia="Times New Roman" w:cs=""/>
                <w:b w:val="false"/>
                <w:color w:val="000000"/>
                <w:kern w:val="2"/>
                <w:sz w:val="24"/>
                <w:szCs w:val="24"/>
                <w:lang w:val="en-IN" w:eastAsia="en-US" w:bidi="ar-SA"/>
              </w:rPr>
              <w:t>Available scores</w:t>
            </w:r>
          </w:p>
        </w:tc>
        <w:tc>
          <w:tcPr>
            <w:tcW w:w="4680" w:type="dxa"/>
            <w:tcBorders/>
            <w:vAlign w:val="center"/>
          </w:tcPr>
          <w:p>
            <w:pPr>
              <w:pStyle w:val="Normal"/>
              <w:widowControl/>
              <w:spacing w:lineRule="auto" w:line="240" w:before="0" w:after="0"/>
              <w:rPr>
                <w:rFonts w:cs=""/>
                <w:kern w:val="2"/>
                <w:sz w:val="24"/>
                <w:szCs w:val="24"/>
                <w:lang w:val="en-IN" w:eastAsia="en-US" w:bidi="ar-SA"/>
              </w:rPr>
            </w:pPr>
            <w:r>
              <w:rPr>
                <w:rFonts w:eastAsia="Times New Roman" w:cs=""/>
                <w:b w:val="false"/>
                <w:color w:val="000000"/>
                <w:kern w:val="2"/>
                <w:sz w:val="24"/>
                <w:szCs w:val="24"/>
                <w:lang w:val="en-IN" w:eastAsia="en-US" w:bidi="ar-SA"/>
              </w:rPr>
              <w:t>Equal-weight normalized mean; audio/video veto at 0.85</w:t>
            </w:r>
          </w:p>
        </w:tc>
        <w:tc>
          <w:tcPr>
            <w:tcW w:w="2664" w:type="dxa"/>
            <w:tcBorders/>
            <w:vAlign w:val="center"/>
          </w:tcPr>
          <w:p>
            <w:pPr>
              <w:pStyle w:val="Normal"/>
              <w:widowControl/>
              <w:spacing w:lineRule="auto" w:line="240" w:before="0" w:after="0"/>
              <w:rPr>
                <w:rFonts w:cs=""/>
                <w:kern w:val="2"/>
                <w:sz w:val="24"/>
                <w:szCs w:val="24"/>
                <w:lang w:val="en-IN" w:eastAsia="en-US" w:bidi="ar-SA"/>
              </w:rPr>
            </w:pPr>
            <w:r>
              <w:rPr>
                <w:rFonts w:eastAsia="Times New Roman" w:cs=""/>
                <w:b w:val="false"/>
                <w:color w:val="000000"/>
                <w:kern w:val="2"/>
                <w:sz w:val="24"/>
                <w:szCs w:val="24"/>
                <w:lang w:val="en-IN" w:eastAsia="en-US" w:bidi="ar-SA"/>
              </w:rPr>
              <w:t>Final score and 0.50 decision</w:t>
            </w:r>
          </w:p>
        </w:tc>
      </w:tr>
    </w:tbl>
    <w:p>
      <w:pPr>
        <w:pStyle w:val="Normal"/>
        <w:spacing w:before="0" w:after="20"/>
        <w:rPr>
          <w:sz w:val="24"/>
          <w:szCs w:val="24"/>
        </w:rPr>
      </w:pPr>
      <w:r>
        <w:rPr>
          <w:sz w:val="24"/>
          <w:szCs w:val="24"/>
        </w:rPr>
      </w:r>
    </w:p>
    <w:p>
      <w:pPr>
        <w:pStyle w:val="Normal"/>
        <w:spacing w:before="0" w:after="120"/>
        <w:jc w:val="center"/>
        <w:rPr>
          <w:sz w:val="24"/>
          <w:szCs w:val="24"/>
        </w:rPr>
      </w:pPr>
      <w:r>
        <w:rPr>
          <w:i/>
          <w:sz w:val="24"/>
          <w:szCs w:val="24"/>
        </w:rPr>
        <w:t>Table I. SynthGuard inference path and outputs.</w:t>
      </w:r>
    </w:p>
    <w:p>
      <w:pPr>
        <w:pStyle w:val="Heading2"/>
        <w:rPr>
          <w:sz w:val="24"/>
          <w:szCs w:val="24"/>
        </w:rPr>
      </w:pPr>
      <w:r>
        <w:rPr>
          <w:sz w:val="24"/>
          <w:szCs w:val="24"/>
        </w:rPr>
        <w:t>A. Email sensor</w:t>
      </w:r>
    </w:p>
    <w:p>
      <w:pPr>
        <w:pStyle w:val="Normal"/>
        <w:rPr>
          <w:sz w:val="24"/>
          <w:szCs w:val="24"/>
        </w:rPr>
      </w:pPr>
      <w:r>
        <w:rPr>
          <w:rFonts w:eastAsia="Times New Roman"/>
          <w:sz w:val="24"/>
          <w:szCs w:val="24"/>
        </w:rPr>
        <w:t>The email endpoint tokenizes the submitted message and obtains class logits from the saved DistilBERT sequence classifier. The phishing-class probability is returned as a score. The current evaluation script sends each saved test record through the running API; one record exceeded the API character limit of 100,000 characters and was clipped. The reported full-file metrics therefore include one clipped input, while the accompanying unclipped metrics exclude it.</w:t>
      </w:r>
    </w:p>
    <w:p>
      <w:pPr>
        <w:pStyle w:val="Heading2"/>
        <w:rPr>
          <w:sz w:val="24"/>
          <w:szCs w:val="24"/>
        </w:rPr>
      </w:pPr>
      <w:r>
        <w:rPr>
          <w:sz w:val="24"/>
          <w:szCs w:val="24"/>
        </w:rPr>
        <w:t>B. Audio sensor</w:t>
      </w:r>
    </w:p>
    <w:p>
      <w:pPr>
        <w:pStyle w:val="Normal"/>
        <w:rPr>
          <w:sz w:val="24"/>
          <w:szCs w:val="24"/>
        </w:rPr>
      </w:pPr>
      <w:r>
        <w:rPr>
          <w:rFonts w:eastAsia="Times New Roman"/>
          <w:sz w:val="24"/>
          <w:szCs w:val="24"/>
        </w:rPr>
        <w:t>The audio pipeline converts audio to 16 kHz mono, computes 40 MFCC coefficients using an FFT size of 2,048 samples and a 512-sample hop, and pads or truncates the time axis to 300 frames. A three-block convolutional model returns a sigmoid score for spoof audio. The backend uses 0.45 as the operational decision threshold. The available feature batches preserve labels and row order but do not include speaker, session, or source-group identifiers.</w:t>
      </w:r>
    </w:p>
    <w:p>
      <w:pPr>
        <w:pStyle w:val="Heading2"/>
        <w:rPr>
          <w:sz w:val="24"/>
          <w:szCs w:val="24"/>
        </w:rPr>
      </w:pPr>
      <w:r>
        <w:rPr>
          <w:sz w:val="24"/>
          <w:szCs w:val="24"/>
        </w:rPr>
        <w:t>C. Video sensor</w:t>
      </w:r>
    </w:p>
    <w:p>
      <w:pPr>
        <w:pStyle w:val="Normal"/>
        <w:rPr>
          <w:sz w:val="24"/>
          <w:szCs w:val="24"/>
        </w:rPr>
      </w:pPr>
      <w:r>
        <w:rPr>
          <w:rFonts w:eastAsia="Times New Roman"/>
          <w:sz w:val="24"/>
          <w:szCs w:val="24"/>
        </w:rPr>
        <w:t>The video endpoint samples up to five frames, detects facial regions with MTCNN, resizes crops to 224 × 224, runs the active EfficientNet-B0 checkpoint, and averages the frame scores. The current backend loads model.safetensors_2. It transforms a raw score using sᵥ = σ(logit(sᵣₐw) − logit(τ)), after clipping the raw value away from zero and one. With the configured fallback τ = 0.7920, the transform maps that raw threshold to a displayed score of 0.50. No validation manifest or calibration record substantiating 0.7920 was found, so this is described as a configured score recentering, not a newly verified probability calibration.</w:t>
      </w:r>
    </w:p>
    <w:p>
      <w:pPr>
        <w:pStyle w:val="Heading2"/>
        <w:rPr>
          <w:sz w:val="24"/>
          <w:szCs w:val="24"/>
        </w:rPr>
      </w:pPr>
      <w:r>
        <w:rPr>
          <w:sz w:val="24"/>
          <w:szCs w:val="24"/>
        </w:rPr>
      </w:r>
    </w:p>
    <w:p>
      <w:pPr>
        <w:pStyle w:val="Heading2"/>
        <w:rPr>
          <w:sz w:val="24"/>
          <w:szCs w:val="24"/>
        </w:rPr>
      </w:pPr>
      <w:r>
        <w:rPr>
          <w:sz w:val="24"/>
          <w:szCs w:val="24"/>
        </w:rPr>
        <w:t>D. Late fusion and decision rule</w:t>
      </w:r>
    </w:p>
    <w:p>
      <w:pPr>
        <w:pStyle w:val="Normal"/>
        <w:rPr>
          <w:sz w:val="24"/>
          <w:szCs w:val="24"/>
        </w:rPr>
      </w:pPr>
      <w:r>
        <w:rPr>
          <w:rFonts w:eastAsia="Times New Roman"/>
          <w:sz w:val="24"/>
          <w:szCs w:val="24"/>
        </w:rPr>
        <w:t>Let M be the set of modalities included in an analysis, and let sᵢ be each modality score. The implementation assigns nominally equal weights and renormalizes them over M: Smean = Σᵢ∈M wᵢsᵢ / Σᵢ∈M wᵢ, where wᵢ = 0.3333. If audio or video reaches the veto threshold θ = 0.85, the implementation returns the maximum score among the available modalities; it does not unconditionally set the final score to 1.00. Otherwise it returns Smean. A score of at least 0.50 is labeled a threat. When only one modality is provided, the returned score represents that modality and is not evidence of fusion.</w:t>
      </w:r>
    </w:p>
    <w:p>
      <w:pPr>
        <w:pStyle w:val="Normal"/>
        <w:rPr>
          <w:sz w:val="24"/>
          <w:szCs w:val="24"/>
        </w:rPr>
      </w:pPr>
      <w:r>
        <w:rPr>
          <w:rFonts w:eastAsia="Times New Roman"/>
          <w:sz w:val="24"/>
          <w:szCs w:val="24"/>
        </w:rPr>
        <w:t>This rule is transparent and tolerant of missing inputs, but it assumes the scores have compatible meanings and ranges [10]. A detector’s sigmoid or softmax output is not automatically a calibrated probability. The veto can increase sensitivity to a high biometric score while also increasing false alarms; both effects must be measured on paired, held-out scenarios.</w:t>
      </w:r>
    </w:p>
    <w:p>
      <w:pPr>
        <w:pStyle w:val="Heading1"/>
        <w:jc w:val="left"/>
        <w:rPr>
          <w:sz w:val="24"/>
          <w:szCs w:val="24"/>
        </w:rPr>
      </w:pPr>
      <w:r>
        <w:rPr>
          <w:sz w:val="24"/>
          <w:szCs w:val="24"/>
        </w:rPr>
        <w:t>V. IMPLEMENTATION AND ANALYST WORKFLOW</w:t>
      </w:r>
    </w:p>
    <w:p>
      <w:pPr>
        <w:pStyle w:val="Normal"/>
        <w:rPr>
          <w:sz w:val="24"/>
          <w:szCs w:val="24"/>
        </w:rPr>
      </w:pPr>
      <w:r>
        <w:rPr>
          <w:rFonts w:eastAsia="Times New Roman"/>
          <w:sz w:val="24"/>
          <w:szCs w:val="24"/>
        </w:rPr>
        <w:t>The backend exposes independent endpoints and a multimodal endpoint. File size, extension, and duration limits constrain uploads, and missing modalities are skipped. The user interface presents the score and status for each provided sensor, an overall verdict, and forensic indicators. A scan report can be exported as a PDF in the browser. Lightweight report metadata is stored in the browser’s localStorage for the analyst’s report-history view; uploaded frames and full media are not part of that local report-history record. This storage choice persists within the browser profile but is not a server-side audit database or a cross-device archive.</w:t>
      </w:r>
    </w:p>
    <w:p>
      <w:pPr>
        <w:pStyle w:val="Normal"/>
        <w:rPr>
          <w:sz w:val="24"/>
          <w:szCs w:val="24"/>
        </w:rPr>
      </w:pPr>
      <w:r>
        <w:rPr>
          <w:rFonts w:eastAsia="Times New Roman"/>
          <w:sz w:val="24"/>
          <w:szCs w:val="24"/>
        </w:rPr>
        <w:t>The dashboard presents operational readiness, model availability, and investigation entry points rather than benchmark accuracy. This separation avoids implying that a model-level diagnostic number is a production guarantee. The screenshots below document interface behavior only; the multimodal example is not treated as an experimentally paired case.</w:t>
      </w:r>
    </w:p>
    <w:p>
      <w:pPr>
        <w:pStyle w:val="Normal"/>
        <w:keepNext w:val="true"/>
        <w:jc w:val="center"/>
        <w:rPr>
          <w:sz w:val="24"/>
          <w:szCs w:val="24"/>
        </w:rPr>
      </w:pPr>
      <w:r>
        <w:rPr>
          <w:sz w:val="24"/>
          <w:szCs w:val="24"/>
        </w:rPr>
        <w:drawing>
          <wp:inline distT="0" distB="0" distL="0" distR="0">
            <wp:extent cx="6277610" cy="302641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6277610" cy="3026410"/>
                    </a:xfrm>
                    <a:prstGeom prst="rect">
                      <a:avLst/>
                    </a:prstGeom>
                    <a:noFill/>
                  </pic:spPr>
                </pic:pic>
              </a:graphicData>
            </a:graphic>
          </wp:inline>
        </w:drawing>
      </w:r>
    </w:p>
    <w:p>
      <w:pPr>
        <w:pStyle w:val="Normal"/>
        <w:spacing w:before="0" w:after="140"/>
        <w:jc w:val="center"/>
        <w:rPr>
          <w:sz w:val="24"/>
          <w:szCs w:val="24"/>
        </w:rPr>
      </w:pPr>
      <w:r>
        <w:rPr>
          <w:i/>
          <w:sz w:val="24"/>
          <w:szCs w:val="24"/>
        </w:rPr>
        <w:t>Fig. 1. SynthGuard analyst dashboard. The interface communicates local workspace status and provides access to the modality workspaces.</w:t>
      </w:r>
    </w:p>
    <w:p>
      <w:pPr>
        <w:pStyle w:val="Normal"/>
        <w:keepNext w:val="true"/>
        <w:jc w:val="center"/>
        <w:rPr>
          <w:sz w:val="24"/>
          <w:szCs w:val="24"/>
        </w:rPr>
      </w:pPr>
      <w:r>
        <w:rPr>
          <w:sz w:val="24"/>
          <w:szCs w:val="24"/>
        </w:rPr>
        <w:drawing>
          <wp:inline distT="0" distB="0" distL="0" distR="0">
            <wp:extent cx="6372860" cy="3206750"/>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pic:cNvPicPr>
                      <a:picLocks noChangeAspect="1" noChangeArrowheads="1"/>
                    </pic:cNvPicPr>
                  </pic:nvPicPr>
                  <pic:blipFill>
                    <a:blip r:embed="rId3"/>
                    <a:stretch>
                      <a:fillRect/>
                    </a:stretch>
                  </pic:blipFill>
                  <pic:spPr bwMode="auto">
                    <a:xfrm>
                      <a:off x="0" y="0"/>
                      <a:ext cx="6372860" cy="3206750"/>
                    </a:xfrm>
                    <a:prstGeom prst="rect">
                      <a:avLst/>
                    </a:prstGeom>
                    <a:noFill/>
                  </pic:spPr>
                </pic:pic>
              </a:graphicData>
            </a:graphic>
          </wp:inline>
        </w:drawing>
      </w:r>
    </w:p>
    <w:p>
      <w:pPr>
        <w:pStyle w:val="Normal"/>
        <w:spacing w:before="0" w:after="140"/>
        <w:jc w:val="center"/>
        <w:rPr>
          <w:sz w:val="24"/>
          <w:szCs w:val="24"/>
        </w:rPr>
      </w:pPr>
      <w:r>
        <w:rPr>
          <w:i/>
          <w:sz w:val="24"/>
          <w:szCs w:val="24"/>
        </w:rPr>
        <w:t>Fig. 2. Multimodal analysis screen. The displayed email, audio, and video scores illustrate UI behavior only; the inputs are not established as a matched research sample.</w:t>
      </w:r>
    </w:p>
    <w:p>
      <w:pPr>
        <w:pStyle w:val="Heading1"/>
        <w:jc w:val="left"/>
        <w:rPr>
          <w:sz w:val="24"/>
          <w:szCs w:val="24"/>
        </w:rPr>
      </w:pPr>
      <w:r>
        <w:rPr>
          <w:sz w:val="24"/>
          <w:szCs w:val="24"/>
        </w:rPr>
      </w:r>
    </w:p>
    <w:p>
      <w:pPr>
        <w:pStyle w:val="Heading1"/>
        <w:jc w:val="left"/>
        <w:rPr>
          <w:sz w:val="24"/>
          <w:szCs w:val="24"/>
        </w:rPr>
      </w:pPr>
      <w:r>
        <w:rPr>
          <w:sz w:val="24"/>
          <w:szCs w:val="24"/>
        </w:rPr>
        <w:t>VI. EXPERIMENTAL EVIDENCE AND RESULTS</w:t>
      </w:r>
    </w:p>
    <w:p>
      <w:pPr>
        <w:pStyle w:val="Normal"/>
        <w:rPr>
          <w:sz w:val="24"/>
          <w:szCs w:val="24"/>
        </w:rPr>
      </w:pPr>
      <w:r>
        <w:rPr>
          <w:rFonts w:eastAsia="Times New Roman"/>
          <w:sz w:val="24"/>
          <w:szCs w:val="24"/>
        </w:rPr>
        <w:t>The evidence audit distinguishes earlier notebook outputs, current-checkpoint re-scores, and evaluations that have not yet been performed. Sample-level scores are available for the current email re-score and reconstructed audio split. The saved outputs include counts and run metadata. For both modalities, however, evidence tying the active checkpoint to training and model selection without use of the evaluated records is incomplete. These results are therefore diagnostic and should not be interpreted as unbiased estimates of performance on unseen populations.</w:t>
      </w:r>
    </w:p>
    <w:p>
      <w:pPr>
        <w:pStyle w:val="Heading2"/>
        <w:rPr>
          <w:sz w:val="24"/>
          <w:szCs w:val="24"/>
        </w:rPr>
      </w:pPr>
      <w:r>
        <w:rPr>
          <w:sz w:val="24"/>
          <w:szCs w:val="24"/>
        </w:rPr>
        <w:t>A. Email evidence</w:t>
      </w:r>
    </w:p>
    <w:p>
      <w:pPr>
        <w:pStyle w:val="Normal"/>
        <w:rPr>
          <w:sz w:val="24"/>
          <w:szCs w:val="24"/>
        </w:rPr>
      </w:pPr>
      <w:r>
        <w:rPr>
          <w:rFonts w:eastAsia="Times New Roman"/>
          <w:sz w:val="24"/>
          <w:szCs w:val="24"/>
        </w:rPr>
        <w:t>An earlier Colab email experiment reported 98.80% accuracy on 3,508 test rows and showed a confusion matrix with 2,175 true negatives, 21 false positives, 21 false negatives, and 1,291 true positives. That matrix sums to 3,508 and is arithmetically consistent with 98.80%. The notebook excerpt loads prebuilt train and test pickle files but does not provide their creation history or a hash linking its trained weights to the currently deployed checkpoint. This earlier result is not a verified held-out estimate for the active model.</w:t>
      </w:r>
    </w:p>
    <w:p>
      <w:pPr>
        <w:pStyle w:val="Normal"/>
        <w:rPr>
          <w:rFonts w:ascii="Times New Roman" w:hAnsi="Times New Roman" w:eastAsia="Times New Roman"/>
          <w:sz w:val="24"/>
          <w:szCs w:val="24"/>
        </w:rPr>
      </w:pPr>
      <w:r>
        <w:rPr>
          <w:rFonts w:eastAsia="Times New Roman"/>
          <w:sz w:val="24"/>
          <w:szCs w:val="24"/>
        </w:rPr>
        <w:t>The active checkpoint was separately rescored against the repository’s saved test file at a 0.50 threshold. Including the clipped long input, the 3,508-row confusion counts were TP = 1,308, TN = 2,023, FP = 173, and FN = 4, corresponding to 94.95% accuracy, 7.88% false-positive rate, and 0.30% false-negative rate. Excluding the clipped row gives n = 3,507, TP = 1,308, TN = 2,023, FP = 172, and FN = 4; accuracy is 94.98%. The saved report records the test-file hash and the checkpoint hash, but not training-split lineage. Accordingly, these are reproducible re-score outputs on the saved file, not proven out-of-sample metrics.</w:t>
      </w:r>
    </w:p>
    <w:p>
      <w:pPr>
        <w:pStyle w:val="Normal"/>
        <w:rPr>
          <w:rFonts w:ascii="Times New Roman" w:hAnsi="Times New Roman" w:eastAsia="Times New Roman"/>
          <w:sz w:val="24"/>
          <w:szCs w:val="24"/>
        </w:rPr>
      </w:pPr>
      <w:r>
        <w:rPr>
          <w:rFonts w:eastAsia="Times New Roman"/>
          <w:sz w:val="24"/>
          <w:szCs w:val="24"/>
        </w:rPr>
      </w:r>
    </w:p>
    <w:p>
      <w:pPr>
        <w:pStyle w:val="Normal"/>
        <w:rPr>
          <w:rFonts w:ascii="Times New Roman" w:hAnsi="Times New Roman" w:eastAsia="Times New Roman"/>
          <w:sz w:val="24"/>
          <w:szCs w:val="24"/>
        </w:rPr>
      </w:pPr>
      <w:r>
        <w:rPr>
          <w:rFonts w:eastAsia="Times New Roman"/>
          <w:sz w:val="24"/>
          <w:szCs w:val="24"/>
        </w:rPr>
      </w:r>
    </w:p>
    <w:p>
      <w:pPr>
        <w:pStyle w:val="Normal"/>
        <w:rPr>
          <w:rFonts w:ascii="Times New Roman" w:hAnsi="Times New Roman" w:eastAsia="Times New Roman"/>
          <w:sz w:val="24"/>
          <w:szCs w:val="24"/>
        </w:rPr>
      </w:pPr>
      <w:r>
        <w:rPr>
          <w:rFonts w:eastAsia="Times New Roman"/>
          <w:sz w:val="24"/>
          <w:szCs w:val="24"/>
        </w:rPr>
      </w:r>
    </w:p>
    <w:p>
      <w:pPr>
        <w:pStyle w:val="Normal"/>
        <w:rPr>
          <w:b/>
          <w:bCs/>
          <w:sz w:val="24"/>
          <w:szCs w:val="24"/>
        </w:rPr>
      </w:pPr>
      <w:r>
        <w:rPr>
          <w:b/>
          <w:bCs/>
          <w:sz w:val="24"/>
          <w:szCs w:val="24"/>
        </w:rPr>
        <w:t>B. Audio evidence</w:t>
      </w:r>
    </w:p>
    <w:p>
      <w:pPr>
        <w:pStyle w:val="Normal"/>
        <w:rPr>
          <w:sz w:val="24"/>
          <w:szCs w:val="24"/>
        </w:rPr>
      </w:pPr>
      <w:r>
        <w:rPr>
          <w:rFonts w:eastAsia="Times New Roman"/>
          <w:sz w:val="24"/>
          <w:szCs w:val="24"/>
        </w:rPr>
        <w:t>The audio training procedure records 181,566 MFCC feature rows and constructs a 500-row stratified test index with random_state = 42. The excerpt creates train and validation loaders but never creates a test loader or reports test-set predictions. A local reconstruction of the 500-row index from the same feature order was scored with the active local audio checkpoint [12]. At the deployed threshold of 0.45, the counts were TP = 448, TN = 46, FP = 5, and FN = 1 (n = 500; 449 spoof and 51 genuine), for 98.8% accuracy. Only 51 genuine samples are present. The observed 9.80% false-positive rate comes from five errors among those 51 records, making it highly sensitive to individual examples and too weakly supported to interpret as a stable operating rate. The 98.8% overall accuracy is similarly misleading in this spoof-heavy sample and should not be treated as a meaningful estimate of balanced detection performance. The batch files have no source IDs, and the Colab checkpoint identity is unavailable for comparison with the active local weights. This reconstruction is diagnostic only, not source-disjoint test evidence.</w:t>
      </w:r>
    </w:p>
    <w:p>
      <w:pPr>
        <w:pStyle w:val="Heading2"/>
        <w:rPr>
          <w:sz w:val="24"/>
          <w:szCs w:val="24"/>
        </w:rPr>
      </w:pPr>
      <w:r>
        <w:rPr>
          <w:sz w:val="24"/>
          <w:szCs w:val="24"/>
        </w:rPr>
        <w:t>C. Video evidence</w:t>
      </w:r>
    </w:p>
    <w:p>
      <w:pPr>
        <w:pStyle w:val="Normal"/>
        <w:rPr>
          <w:sz w:val="24"/>
          <w:szCs w:val="24"/>
        </w:rPr>
      </w:pPr>
      <w:r>
        <w:rPr>
          <w:rFonts w:eastAsia="Times New Roman"/>
          <w:sz w:val="24"/>
          <w:szCs w:val="24"/>
        </w:rPr>
        <w:t>A video training run recorded 95.75% validation accuracy after five epochs on 10,000 face tensors randomly partitioned into 8,000 training and 2,000 validation samples. That run saved model.safetensors; the current application loads model.safetensors_2. The training record contains no source-video groups or held-out test predictions, so its validation metric cannot be attributed to the active checkpoint or treated as test accuracy. No verified held-out metric report exists for the active video model.</w:t>
      </w:r>
    </w:p>
    <w:p>
      <w:pPr>
        <w:pStyle w:val="Heading2"/>
        <w:rPr>
          <w:sz w:val="24"/>
          <w:szCs w:val="24"/>
        </w:rPr>
      </w:pPr>
      <w:r>
        <w:rPr>
          <w:sz w:val="24"/>
          <w:szCs w:val="24"/>
        </w:rPr>
        <w:t>D. Fusion evidence</w:t>
      </w:r>
    </w:p>
    <w:p>
      <w:pPr>
        <w:pStyle w:val="Normal"/>
        <w:rPr>
          <w:sz w:val="24"/>
          <w:szCs w:val="24"/>
        </w:rPr>
      </w:pPr>
      <w:r>
        <w:rPr>
          <w:rFonts w:eastAsia="Times New Roman"/>
          <w:sz w:val="24"/>
          <w:szCs w:val="24"/>
        </w:rPr>
        <w:t>No curated manifest of genuinely corresponding email, audio, and video cases with source-group separation was available. The earlier ablation CSV and LaTeX table are marked in the repository as unverified because independent modality datasets were paired by labels and a video threshold was selected on the same records used for scoring [13]. Their percentages are excluded. This distinction is substantive: sharing a threat/benign label does not make two records evidence from the same investigation, and therefore cannot test whether cross-modal evidence resolves a particular incident. The current multimodal screenshot illustrates interface behavior only; its media are not verified as one matched scenario. No multimodal accuracy, false-positive rate, false-negative rate, or fault-tolerance rate is claimed. The resulting contribution is a clear validity requirement for future fusion evaluation, rather than a fusion performance estimate.</w:t>
      </w:r>
    </w:p>
    <w:p>
      <w:pPr>
        <w:pStyle w:val="Heading2"/>
        <w:rPr>
          <w:sz w:val="24"/>
          <w:szCs w:val="24"/>
        </w:rPr>
      </w:pPr>
      <w:r>
        <w:rPr>
          <w:sz w:val="24"/>
          <w:szCs w:val="24"/>
        </w:rPr>
        <w:t>E. Metric definitions and evidence summary</w:t>
      </w:r>
    </w:p>
    <w:p>
      <w:pPr>
        <w:pStyle w:val="Normal"/>
        <w:rPr>
          <w:sz w:val="24"/>
          <w:szCs w:val="24"/>
        </w:rPr>
      </w:pPr>
      <w:r>
        <w:rPr>
          <w:rFonts w:eastAsia="Times New Roman"/>
          <w:sz w:val="24"/>
          <w:szCs w:val="24"/>
        </w:rPr>
        <w:t>For a binary threat label, the reported metrics are computed from TP, TN, FP, and FN as follows: Accuracy = (TP + TN)/(TP + TN + FP + FN); Precision = TP/(TP + FP); Recall = TP/(TP + FN); FPR = FP/(FP + TN); and FNR = FN/(FN + TP). A future benchmark should also report class support, confidence intervals, coverage for each modality subset, and source-group overlap checks.</w:t>
      </w:r>
    </w:p>
    <w:p>
      <w:pPr>
        <w:pStyle w:val="Normal"/>
        <w:keepNext w:val="true"/>
        <w:spacing w:before="0" w:after="80"/>
        <w:jc w:val="center"/>
        <w:rPr>
          <w:rFonts w:ascii="Times New Roman" w:hAnsi="Times New Roman"/>
          <w:i/>
          <w:i/>
          <w:sz w:val="24"/>
          <w:szCs w:val="24"/>
        </w:rPr>
      </w:pPr>
      <w:r>
        <w:rPr>
          <w:i/>
          <w:sz w:val="24"/>
          <w:szCs w:val="24"/>
        </w:rPr>
      </w:r>
    </w:p>
    <w:p>
      <w:pPr>
        <w:pStyle w:val="Normal"/>
        <w:spacing w:before="0" w:after="80"/>
        <w:jc w:val="center"/>
        <w:rPr>
          <w:rFonts w:ascii="Times New Roman" w:hAnsi="Times New Roman"/>
          <w:i/>
          <w:i/>
          <w:sz w:val="24"/>
          <w:szCs w:val="24"/>
        </w:rPr>
      </w:pPr>
      <w:r>
        <w:rPr>
          <w:i/>
          <w:sz w:val="24"/>
          <w:szCs w:val="24"/>
        </w:rPr>
      </w:r>
    </w:p>
    <w:p>
      <w:pPr>
        <w:pStyle w:val="Normal"/>
        <w:spacing w:before="0" w:after="80"/>
        <w:jc w:val="center"/>
        <w:rPr>
          <w:rFonts w:ascii="Times New Roman" w:hAnsi="Times New Roman"/>
          <w:i/>
          <w:i/>
          <w:sz w:val="24"/>
          <w:szCs w:val="24"/>
        </w:rPr>
      </w:pPr>
      <w:r>
        <w:rPr>
          <w:i/>
          <w:sz w:val="24"/>
          <w:szCs w:val="24"/>
        </w:rPr>
      </w:r>
    </w:p>
    <w:p>
      <w:pPr>
        <w:pStyle w:val="Normal"/>
        <w:spacing w:before="0" w:after="80"/>
        <w:jc w:val="center"/>
        <w:rPr>
          <w:rFonts w:ascii="Times New Roman" w:hAnsi="Times New Roman"/>
          <w:i/>
          <w:i/>
          <w:sz w:val="24"/>
          <w:szCs w:val="24"/>
        </w:rPr>
      </w:pPr>
      <w:r>
        <w:rPr>
          <w:i/>
          <w:sz w:val="24"/>
          <w:szCs w:val="24"/>
        </w:rPr>
      </w:r>
    </w:p>
    <w:p>
      <w:pPr>
        <w:pStyle w:val="Normal"/>
        <w:spacing w:before="0" w:after="80"/>
        <w:jc w:val="center"/>
        <w:rPr>
          <w:rFonts w:ascii="Times New Roman" w:hAnsi="Times New Roman"/>
          <w:i/>
          <w:i/>
          <w:sz w:val="24"/>
          <w:szCs w:val="24"/>
        </w:rPr>
      </w:pPr>
      <w:r>
        <w:rPr>
          <w:i/>
          <w:sz w:val="24"/>
          <w:szCs w:val="24"/>
        </w:rPr>
      </w:r>
    </w:p>
    <w:p>
      <w:pPr>
        <w:pStyle w:val="Normal"/>
        <w:spacing w:before="0" w:after="80"/>
        <w:jc w:val="center"/>
        <w:rPr>
          <w:rFonts w:ascii="Times New Roman" w:hAnsi="Times New Roman"/>
          <w:i/>
          <w:i/>
          <w:sz w:val="24"/>
          <w:szCs w:val="24"/>
        </w:rPr>
      </w:pPr>
      <w:r>
        <w:rPr>
          <w:i/>
          <w:sz w:val="24"/>
          <w:szCs w:val="24"/>
        </w:rPr>
      </w:r>
    </w:p>
    <w:p>
      <w:pPr>
        <w:pStyle w:val="Normal"/>
        <w:spacing w:before="0" w:after="80"/>
        <w:jc w:val="center"/>
        <w:rPr>
          <w:rFonts w:ascii="Times New Roman" w:hAnsi="Times New Roman"/>
          <w:i/>
          <w:i/>
          <w:sz w:val="24"/>
          <w:szCs w:val="24"/>
        </w:rPr>
      </w:pPr>
      <w:r>
        <w:rPr>
          <w:i/>
          <w:sz w:val="24"/>
          <w:szCs w:val="24"/>
        </w:rPr>
      </w:r>
    </w:p>
    <w:p>
      <w:pPr>
        <w:pStyle w:val="Normal"/>
        <w:spacing w:before="0" w:after="80"/>
        <w:jc w:val="center"/>
        <w:rPr>
          <w:rFonts w:ascii="Times New Roman" w:hAnsi="Times New Roman"/>
          <w:i/>
          <w:i/>
          <w:sz w:val="24"/>
          <w:szCs w:val="24"/>
        </w:rPr>
      </w:pPr>
      <w:r>
        <w:rPr>
          <w:i/>
          <w:sz w:val="24"/>
          <w:szCs w:val="24"/>
        </w:rPr>
        <w:t>Table II. Results and evidence status.</w:t>
      </w:r>
    </w:p>
    <w:tbl>
      <w:tblPr>
        <w:tblStyle w:val="TableGrid"/>
        <w:tblW w:w="9000" w:type="dxa"/>
        <w:jc w:val="center"/>
        <w:tblInd w:w="0" w:type="dxa"/>
        <w:tblLayout w:type="fixed"/>
        <w:tblCellMar>
          <w:top w:w="70" w:type="dxa"/>
          <w:left w:w="90" w:type="dxa"/>
          <w:bottom w:w="70" w:type="dxa"/>
          <w:right w:w="90" w:type="dxa"/>
        </w:tblCellMar>
        <w:tblLook w:val="04a0" w:noHBand="0" w:noVBand="1" w:firstColumn="1" w:lastRow="0" w:lastColumn="0" w:firstRow="1"/>
      </w:tblPr>
      <w:tblGrid>
        <w:gridCol w:w="2160"/>
        <w:gridCol w:w="576"/>
        <w:gridCol w:w="2880"/>
        <w:gridCol w:w="3383"/>
      </w:tblGrid>
      <w:tr>
        <w:trPr>
          <w:tblHeader w:val="true"/>
          <w:cantSplit w:val="true"/>
        </w:trPr>
        <w:tc>
          <w:tcPr>
            <w:tcW w:w="2160" w:type="dxa"/>
            <w:tcBorders/>
            <w:shd w:fill="D9E2F3"/>
            <w:vAlign w:val="center"/>
          </w:tcPr>
          <w:p>
            <w:pPr>
              <w:pStyle w:val="Normal"/>
              <w:widowControl/>
              <w:spacing w:lineRule="auto" w:line="240" w:before="0" w:after="0"/>
              <w:rPr>
                <w:rFonts w:cs=""/>
                <w:kern w:val="2"/>
                <w:sz w:val="24"/>
                <w:szCs w:val="24"/>
                <w:lang w:val="en-IN" w:eastAsia="en-US" w:bidi="ar-SA"/>
              </w:rPr>
            </w:pPr>
            <w:r>
              <w:rPr>
                <w:rFonts w:eastAsia="Times New Roman" w:cs=""/>
                <w:b/>
                <w:color w:val="000000"/>
                <w:kern w:val="2"/>
                <w:sz w:val="24"/>
                <w:szCs w:val="24"/>
                <w:lang w:val="en-IN" w:eastAsia="en-US" w:bidi="ar-SA"/>
              </w:rPr>
              <w:t>Component / evidence</w:t>
            </w:r>
          </w:p>
        </w:tc>
        <w:tc>
          <w:tcPr>
            <w:tcW w:w="576" w:type="dxa"/>
            <w:tcBorders/>
            <w:shd w:fill="D9E2F3"/>
            <w:vAlign w:val="center"/>
          </w:tcPr>
          <w:p>
            <w:pPr>
              <w:pStyle w:val="Normal"/>
              <w:widowControl/>
              <w:spacing w:lineRule="auto" w:line="240" w:before="0" w:after="0"/>
              <w:rPr>
                <w:rFonts w:cs=""/>
                <w:kern w:val="2"/>
                <w:sz w:val="24"/>
                <w:szCs w:val="24"/>
                <w:lang w:val="en-IN" w:eastAsia="en-US" w:bidi="ar-SA"/>
              </w:rPr>
            </w:pPr>
            <w:r>
              <w:rPr>
                <w:rFonts w:eastAsia="Times New Roman" w:cs=""/>
                <w:b/>
                <w:color w:val="000000"/>
                <w:kern w:val="2"/>
                <w:sz w:val="24"/>
                <w:szCs w:val="24"/>
                <w:lang w:val="en-IN" w:eastAsia="en-US" w:bidi="ar-SA"/>
              </w:rPr>
              <w:t>N</w:t>
            </w:r>
          </w:p>
        </w:tc>
        <w:tc>
          <w:tcPr>
            <w:tcW w:w="2880" w:type="dxa"/>
            <w:tcBorders/>
            <w:shd w:fill="D9E2F3"/>
            <w:vAlign w:val="center"/>
          </w:tcPr>
          <w:p>
            <w:pPr>
              <w:pStyle w:val="Normal"/>
              <w:widowControl/>
              <w:spacing w:lineRule="auto" w:line="240" w:before="0" w:after="0"/>
              <w:rPr>
                <w:rFonts w:cs=""/>
                <w:kern w:val="2"/>
                <w:sz w:val="24"/>
                <w:szCs w:val="24"/>
                <w:lang w:val="en-IN" w:eastAsia="en-US" w:bidi="ar-SA"/>
              </w:rPr>
            </w:pPr>
            <w:r>
              <w:rPr>
                <w:rFonts w:eastAsia="Times New Roman" w:cs=""/>
                <w:b/>
                <w:color w:val="000000"/>
                <w:kern w:val="2"/>
                <w:sz w:val="24"/>
                <w:szCs w:val="24"/>
                <w:lang w:val="en-IN" w:eastAsia="en-US" w:bidi="ar-SA"/>
              </w:rPr>
              <w:t>Observed result</w:t>
            </w:r>
          </w:p>
        </w:tc>
        <w:tc>
          <w:tcPr>
            <w:tcW w:w="3383" w:type="dxa"/>
            <w:tcBorders/>
            <w:shd w:fill="D9E2F3"/>
            <w:vAlign w:val="center"/>
          </w:tcPr>
          <w:p>
            <w:pPr>
              <w:pStyle w:val="Normal"/>
              <w:widowControl/>
              <w:spacing w:lineRule="auto" w:line="240" w:before="0" w:after="0"/>
              <w:rPr>
                <w:rFonts w:cs=""/>
                <w:kern w:val="2"/>
                <w:sz w:val="24"/>
                <w:szCs w:val="24"/>
                <w:lang w:val="en-IN" w:eastAsia="en-US" w:bidi="ar-SA"/>
              </w:rPr>
            </w:pPr>
            <w:r>
              <w:rPr>
                <w:rFonts w:eastAsia="Times New Roman" w:cs=""/>
                <w:b/>
                <w:color w:val="000000"/>
                <w:kern w:val="2"/>
                <w:sz w:val="24"/>
                <w:szCs w:val="24"/>
                <w:lang w:val="en-IN" w:eastAsia="en-US" w:bidi="ar-SA"/>
              </w:rPr>
              <w:t>Interpretation</w:t>
            </w:r>
          </w:p>
        </w:tc>
      </w:tr>
      <w:tr>
        <w:trPr>
          <w:cantSplit w:val="true"/>
        </w:trPr>
        <w:tc>
          <w:tcPr>
            <w:tcW w:w="2160" w:type="dxa"/>
            <w:tcBorders/>
            <w:vAlign w:val="center"/>
          </w:tcPr>
          <w:p>
            <w:pPr>
              <w:pStyle w:val="Normal"/>
              <w:widowControl/>
              <w:spacing w:lineRule="auto" w:line="240" w:before="0" w:after="0"/>
              <w:rPr>
                <w:rFonts w:cs=""/>
                <w:kern w:val="2"/>
                <w:sz w:val="24"/>
                <w:szCs w:val="24"/>
                <w:lang w:val="en-IN" w:eastAsia="en-US" w:bidi="ar-SA"/>
              </w:rPr>
            </w:pPr>
            <w:r>
              <w:rPr>
                <w:rFonts w:eastAsia="Times New Roman" w:cs=""/>
                <w:b w:val="false"/>
                <w:color w:val="000000"/>
                <w:kern w:val="2"/>
                <w:sz w:val="24"/>
                <w:szCs w:val="24"/>
                <w:lang w:val="en-IN" w:eastAsia="en-US" w:bidi="ar-SA"/>
              </w:rPr>
              <w:t>Email: earlier Colab run</w:t>
            </w:r>
          </w:p>
        </w:tc>
        <w:tc>
          <w:tcPr>
            <w:tcW w:w="576" w:type="dxa"/>
            <w:tcBorders/>
            <w:vAlign w:val="center"/>
          </w:tcPr>
          <w:p>
            <w:pPr>
              <w:pStyle w:val="Normal"/>
              <w:widowControl/>
              <w:spacing w:lineRule="auto" w:line="240" w:before="0" w:after="0"/>
              <w:rPr>
                <w:rFonts w:cs=""/>
                <w:kern w:val="2"/>
                <w:sz w:val="24"/>
                <w:szCs w:val="24"/>
                <w:lang w:val="en-IN" w:eastAsia="en-US" w:bidi="ar-SA"/>
              </w:rPr>
            </w:pPr>
            <w:r>
              <w:rPr>
                <w:rFonts w:eastAsia="Times New Roman" w:cs=""/>
                <w:b w:val="false"/>
                <w:color w:val="000000"/>
                <w:kern w:val="2"/>
                <w:sz w:val="24"/>
                <w:szCs w:val="24"/>
                <w:lang w:val="en-IN" w:eastAsia="en-US" w:bidi="ar-SA"/>
              </w:rPr>
              <w:t>3,508</w:t>
            </w:r>
          </w:p>
        </w:tc>
        <w:tc>
          <w:tcPr>
            <w:tcW w:w="2880" w:type="dxa"/>
            <w:tcBorders/>
            <w:vAlign w:val="center"/>
          </w:tcPr>
          <w:p>
            <w:pPr>
              <w:pStyle w:val="Normal"/>
              <w:widowControl/>
              <w:spacing w:lineRule="auto" w:line="240" w:before="0" w:after="0"/>
              <w:rPr>
                <w:rFonts w:cs=""/>
                <w:kern w:val="2"/>
                <w:sz w:val="24"/>
                <w:szCs w:val="24"/>
                <w:lang w:val="en-IN" w:eastAsia="en-US" w:bidi="ar-SA"/>
              </w:rPr>
            </w:pPr>
            <w:r>
              <w:rPr>
                <w:rFonts w:eastAsia="Times New Roman" w:cs=""/>
                <w:b w:val="false"/>
                <w:color w:val="000000"/>
                <w:kern w:val="2"/>
                <w:sz w:val="24"/>
                <w:szCs w:val="24"/>
                <w:lang w:val="en-IN" w:eastAsia="en-US" w:bidi="ar-SA"/>
              </w:rPr>
              <w:t>98.80% accuracy; CM [[2175, 21], [21, 1291]]</w:t>
            </w:r>
          </w:p>
        </w:tc>
        <w:tc>
          <w:tcPr>
            <w:tcW w:w="3383" w:type="dxa"/>
            <w:tcBorders/>
            <w:vAlign w:val="center"/>
          </w:tcPr>
          <w:p>
            <w:pPr>
              <w:pStyle w:val="Normal"/>
              <w:widowControl/>
              <w:spacing w:lineRule="auto" w:line="240" w:before="0" w:after="0"/>
              <w:rPr>
                <w:rFonts w:cs=""/>
                <w:kern w:val="2"/>
                <w:sz w:val="24"/>
                <w:szCs w:val="24"/>
                <w:lang w:val="en-IN" w:eastAsia="en-US" w:bidi="ar-SA"/>
              </w:rPr>
            </w:pPr>
            <w:r>
              <w:rPr>
                <w:rFonts w:eastAsia="Times New Roman" w:cs=""/>
                <w:b w:val="false"/>
                <w:color w:val="000000"/>
                <w:kern w:val="2"/>
                <w:sz w:val="24"/>
                <w:szCs w:val="24"/>
                <w:lang w:val="en-IN" w:eastAsia="en-US" w:bidi="ar-SA"/>
              </w:rPr>
              <w:t>Run/checkpoint linkage and split lineage unverified</w:t>
            </w:r>
          </w:p>
        </w:tc>
      </w:tr>
      <w:tr>
        <w:trPr>
          <w:cantSplit w:val="true"/>
        </w:trPr>
        <w:tc>
          <w:tcPr>
            <w:tcW w:w="2160" w:type="dxa"/>
            <w:tcBorders/>
            <w:vAlign w:val="center"/>
          </w:tcPr>
          <w:p>
            <w:pPr>
              <w:pStyle w:val="Normal"/>
              <w:widowControl/>
              <w:spacing w:lineRule="auto" w:line="240" w:before="0" w:after="0"/>
              <w:rPr>
                <w:rFonts w:cs=""/>
                <w:kern w:val="2"/>
                <w:sz w:val="24"/>
                <w:szCs w:val="24"/>
                <w:lang w:val="en-IN" w:eastAsia="en-US" w:bidi="ar-SA"/>
              </w:rPr>
            </w:pPr>
            <w:r>
              <w:rPr>
                <w:rFonts w:eastAsia="Times New Roman" w:cs=""/>
                <w:b w:val="false"/>
                <w:color w:val="000000"/>
                <w:kern w:val="2"/>
                <w:sz w:val="24"/>
                <w:szCs w:val="24"/>
                <w:lang w:val="en-IN" w:eastAsia="en-US" w:bidi="ar-SA"/>
              </w:rPr>
              <w:t>Email: active-checkpoint re-score</w:t>
            </w:r>
          </w:p>
        </w:tc>
        <w:tc>
          <w:tcPr>
            <w:tcW w:w="576" w:type="dxa"/>
            <w:tcBorders/>
            <w:vAlign w:val="center"/>
          </w:tcPr>
          <w:p>
            <w:pPr>
              <w:pStyle w:val="Normal"/>
              <w:widowControl/>
              <w:spacing w:lineRule="auto" w:line="240" w:before="0" w:after="0"/>
              <w:rPr>
                <w:rFonts w:cs=""/>
                <w:kern w:val="2"/>
                <w:sz w:val="24"/>
                <w:szCs w:val="24"/>
                <w:lang w:val="en-IN" w:eastAsia="en-US" w:bidi="ar-SA"/>
              </w:rPr>
            </w:pPr>
            <w:r>
              <w:rPr>
                <w:rFonts w:eastAsia="Times New Roman" w:cs=""/>
                <w:b w:val="false"/>
                <w:color w:val="000000"/>
                <w:kern w:val="2"/>
                <w:sz w:val="24"/>
                <w:szCs w:val="24"/>
                <w:lang w:val="en-IN" w:eastAsia="en-US" w:bidi="ar-SA"/>
              </w:rPr>
              <w:t>3,508</w:t>
            </w:r>
          </w:p>
        </w:tc>
        <w:tc>
          <w:tcPr>
            <w:tcW w:w="2880" w:type="dxa"/>
            <w:tcBorders/>
            <w:vAlign w:val="center"/>
          </w:tcPr>
          <w:p>
            <w:pPr>
              <w:pStyle w:val="Normal"/>
              <w:widowControl/>
              <w:spacing w:lineRule="auto" w:line="240" w:before="0" w:after="0"/>
              <w:rPr>
                <w:rFonts w:cs=""/>
                <w:kern w:val="2"/>
                <w:sz w:val="24"/>
                <w:szCs w:val="24"/>
                <w:lang w:val="en-IN" w:eastAsia="en-US" w:bidi="ar-SA"/>
              </w:rPr>
            </w:pPr>
            <w:r>
              <w:rPr>
                <w:rFonts w:eastAsia="Times New Roman" w:cs=""/>
                <w:b w:val="false"/>
                <w:color w:val="000000"/>
                <w:kern w:val="2"/>
                <w:sz w:val="24"/>
                <w:szCs w:val="24"/>
                <w:lang w:val="en-IN" w:eastAsia="en-US" w:bidi="ar-SA"/>
              </w:rPr>
              <w:t>94.95% accuracy; TP 1308, TN 2023, FP 173, FN 4</w:t>
            </w:r>
          </w:p>
        </w:tc>
        <w:tc>
          <w:tcPr>
            <w:tcW w:w="3383" w:type="dxa"/>
            <w:tcBorders/>
            <w:vAlign w:val="center"/>
          </w:tcPr>
          <w:p>
            <w:pPr>
              <w:pStyle w:val="Normal"/>
              <w:widowControl/>
              <w:spacing w:lineRule="auto" w:line="240" w:before="0" w:after="0"/>
              <w:rPr>
                <w:rFonts w:cs=""/>
                <w:kern w:val="2"/>
                <w:sz w:val="24"/>
                <w:szCs w:val="24"/>
                <w:lang w:val="en-IN" w:eastAsia="en-US" w:bidi="ar-SA"/>
              </w:rPr>
            </w:pPr>
            <w:r>
              <w:rPr>
                <w:rFonts w:eastAsia="Times New Roman" w:cs=""/>
                <w:b w:val="false"/>
                <w:color w:val="000000"/>
                <w:kern w:val="2"/>
                <w:sz w:val="24"/>
                <w:szCs w:val="24"/>
                <w:lang w:val="en-IN" w:eastAsia="en-US" w:bidi="ar-SA"/>
              </w:rPr>
              <w:t>Excluding one clipped row changes accuracy to 94.98%; split lineage unverified</w:t>
            </w:r>
          </w:p>
        </w:tc>
      </w:tr>
      <w:tr>
        <w:trPr>
          <w:cantSplit w:val="true"/>
        </w:trPr>
        <w:tc>
          <w:tcPr>
            <w:tcW w:w="2160" w:type="dxa"/>
            <w:tcBorders/>
            <w:vAlign w:val="center"/>
          </w:tcPr>
          <w:p>
            <w:pPr>
              <w:pStyle w:val="Normal"/>
              <w:widowControl/>
              <w:spacing w:lineRule="auto" w:line="240" w:before="0" w:after="0"/>
              <w:rPr>
                <w:rFonts w:cs=""/>
                <w:kern w:val="2"/>
                <w:sz w:val="24"/>
                <w:szCs w:val="24"/>
                <w:lang w:val="en-IN" w:eastAsia="en-US" w:bidi="ar-SA"/>
              </w:rPr>
            </w:pPr>
            <w:r>
              <w:rPr>
                <w:rFonts w:eastAsia="Times New Roman" w:cs=""/>
                <w:b w:val="false"/>
                <w:color w:val="000000"/>
                <w:kern w:val="2"/>
                <w:sz w:val="24"/>
                <w:szCs w:val="24"/>
                <w:lang w:val="en-IN" w:eastAsia="en-US" w:bidi="ar-SA"/>
              </w:rPr>
              <w:t>Audio: reconstructed random-row split</w:t>
            </w:r>
          </w:p>
        </w:tc>
        <w:tc>
          <w:tcPr>
            <w:tcW w:w="576" w:type="dxa"/>
            <w:tcBorders/>
            <w:vAlign w:val="center"/>
          </w:tcPr>
          <w:p>
            <w:pPr>
              <w:pStyle w:val="Normal"/>
              <w:widowControl/>
              <w:spacing w:lineRule="auto" w:line="240" w:before="0" w:after="0"/>
              <w:rPr>
                <w:rFonts w:cs=""/>
                <w:kern w:val="2"/>
                <w:sz w:val="24"/>
                <w:szCs w:val="24"/>
                <w:lang w:val="en-IN" w:eastAsia="en-US" w:bidi="ar-SA"/>
              </w:rPr>
            </w:pPr>
            <w:r>
              <w:rPr>
                <w:rFonts w:eastAsia="Times New Roman" w:cs=""/>
                <w:b w:val="false"/>
                <w:color w:val="000000"/>
                <w:kern w:val="2"/>
                <w:sz w:val="24"/>
                <w:szCs w:val="24"/>
                <w:lang w:val="en-IN" w:eastAsia="en-US" w:bidi="ar-SA"/>
              </w:rPr>
              <w:t>500</w:t>
            </w:r>
          </w:p>
        </w:tc>
        <w:tc>
          <w:tcPr>
            <w:tcW w:w="2880" w:type="dxa"/>
            <w:tcBorders/>
            <w:vAlign w:val="center"/>
          </w:tcPr>
          <w:p>
            <w:pPr>
              <w:pStyle w:val="Normal"/>
              <w:widowControl/>
              <w:spacing w:lineRule="auto" w:line="240" w:before="0" w:after="0"/>
              <w:rPr>
                <w:rFonts w:cs=""/>
                <w:kern w:val="2"/>
                <w:sz w:val="24"/>
                <w:szCs w:val="24"/>
                <w:lang w:val="en-IN" w:eastAsia="en-US" w:bidi="ar-SA"/>
              </w:rPr>
            </w:pPr>
            <w:r>
              <w:rPr>
                <w:rFonts w:eastAsia="Times New Roman" w:cs=""/>
                <w:b w:val="false"/>
                <w:color w:val="000000"/>
                <w:kern w:val="2"/>
                <w:sz w:val="24"/>
                <w:szCs w:val="24"/>
                <w:lang w:val="en-IN" w:eastAsia="en-US" w:bidi="ar-SA"/>
              </w:rPr>
              <w:t>98.80% accuracy; TP 448, TN 46, FP 5, FN 1</w:t>
            </w:r>
          </w:p>
        </w:tc>
        <w:tc>
          <w:tcPr>
            <w:tcW w:w="3383" w:type="dxa"/>
            <w:tcBorders/>
            <w:vAlign w:val="center"/>
          </w:tcPr>
          <w:p>
            <w:pPr>
              <w:pStyle w:val="Normal"/>
              <w:widowControl/>
              <w:spacing w:lineRule="auto" w:line="240" w:before="0" w:after="0"/>
              <w:rPr>
                <w:rFonts w:cs=""/>
                <w:kern w:val="2"/>
                <w:sz w:val="24"/>
                <w:szCs w:val="24"/>
                <w:lang w:val="en-IN" w:eastAsia="en-US" w:bidi="ar-SA"/>
              </w:rPr>
            </w:pPr>
            <w:r>
              <w:rPr>
                <w:rFonts w:eastAsia="Times New Roman" w:cs=""/>
                <w:b w:val="false"/>
                <w:color w:val="000000"/>
                <w:kern w:val="2"/>
                <w:sz w:val="24"/>
                <w:szCs w:val="24"/>
                <w:lang w:val="en-IN" w:eastAsia="en-US" w:bidi="ar-SA"/>
              </w:rPr>
              <w:t>No source IDs; checkpoint identity unverified; diagnostic only</w:t>
            </w:r>
          </w:p>
        </w:tc>
      </w:tr>
      <w:tr>
        <w:trPr>
          <w:cantSplit w:val="true"/>
        </w:trPr>
        <w:tc>
          <w:tcPr>
            <w:tcW w:w="2160" w:type="dxa"/>
            <w:tcBorders/>
            <w:vAlign w:val="center"/>
          </w:tcPr>
          <w:p>
            <w:pPr>
              <w:pStyle w:val="Normal"/>
              <w:widowControl/>
              <w:spacing w:lineRule="auto" w:line="240" w:before="0" w:after="0"/>
              <w:rPr>
                <w:rFonts w:cs=""/>
                <w:kern w:val="2"/>
                <w:sz w:val="24"/>
                <w:szCs w:val="24"/>
                <w:lang w:val="en-IN" w:eastAsia="en-US" w:bidi="ar-SA"/>
              </w:rPr>
            </w:pPr>
            <w:r>
              <w:rPr>
                <w:rFonts w:eastAsia="Times New Roman" w:cs=""/>
                <w:b w:val="false"/>
                <w:color w:val="000000"/>
                <w:kern w:val="2"/>
                <w:sz w:val="24"/>
                <w:szCs w:val="24"/>
                <w:lang w:val="en-IN" w:eastAsia="en-US" w:bidi="ar-SA"/>
              </w:rPr>
              <w:t>Video: active checkpoint</w:t>
            </w:r>
          </w:p>
        </w:tc>
        <w:tc>
          <w:tcPr>
            <w:tcW w:w="576" w:type="dxa"/>
            <w:tcBorders/>
            <w:vAlign w:val="center"/>
          </w:tcPr>
          <w:p>
            <w:pPr>
              <w:pStyle w:val="Normal"/>
              <w:widowControl/>
              <w:spacing w:lineRule="auto" w:line="240" w:before="0" w:after="0"/>
              <w:rPr>
                <w:rFonts w:cs=""/>
                <w:kern w:val="2"/>
                <w:sz w:val="24"/>
                <w:szCs w:val="24"/>
                <w:lang w:val="en-IN" w:eastAsia="en-US" w:bidi="ar-SA"/>
              </w:rPr>
            </w:pPr>
            <w:r>
              <w:rPr>
                <w:rFonts w:eastAsia="Times New Roman" w:cs=""/>
                <w:b w:val="false"/>
                <w:color w:val="000000"/>
                <w:kern w:val="2"/>
                <w:sz w:val="24"/>
                <w:szCs w:val="24"/>
                <w:lang w:val="en-IN" w:eastAsia="en-US" w:bidi="ar-SA"/>
              </w:rPr>
              <w:t>—</w:t>
            </w:r>
          </w:p>
        </w:tc>
        <w:tc>
          <w:tcPr>
            <w:tcW w:w="2880" w:type="dxa"/>
            <w:tcBorders/>
            <w:vAlign w:val="center"/>
          </w:tcPr>
          <w:p>
            <w:pPr>
              <w:pStyle w:val="Normal"/>
              <w:widowControl/>
              <w:spacing w:lineRule="auto" w:line="240" w:before="0" w:after="0"/>
              <w:rPr>
                <w:rFonts w:cs=""/>
                <w:kern w:val="2"/>
                <w:sz w:val="24"/>
                <w:szCs w:val="24"/>
                <w:lang w:val="en-IN" w:eastAsia="en-US" w:bidi="ar-SA"/>
              </w:rPr>
            </w:pPr>
            <w:r>
              <w:rPr>
                <w:rFonts w:eastAsia="Times New Roman" w:cs=""/>
                <w:b w:val="false"/>
                <w:color w:val="000000"/>
                <w:kern w:val="2"/>
                <w:sz w:val="24"/>
                <w:szCs w:val="24"/>
                <w:lang w:val="en-IN" w:eastAsia="en-US" w:bidi="ar-SA"/>
              </w:rPr>
              <w:t>No held-out test metrics found</w:t>
            </w:r>
          </w:p>
        </w:tc>
        <w:tc>
          <w:tcPr>
            <w:tcW w:w="3383" w:type="dxa"/>
            <w:tcBorders/>
            <w:vAlign w:val="center"/>
          </w:tcPr>
          <w:p>
            <w:pPr>
              <w:pStyle w:val="Normal"/>
              <w:widowControl/>
              <w:spacing w:lineRule="auto" w:line="240" w:before="0" w:after="0"/>
              <w:rPr>
                <w:rFonts w:cs=""/>
                <w:kern w:val="2"/>
                <w:sz w:val="24"/>
                <w:szCs w:val="24"/>
                <w:lang w:val="en-IN" w:eastAsia="en-US" w:bidi="ar-SA"/>
              </w:rPr>
            </w:pPr>
            <w:r>
              <w:rPr>
                <w:rFonts w:eastAsia="Times New Roman" w:cs=""/>
                <w:b w:val="false"/>
                <w:color w:val="000000"/>
                <w:kern w:val="2"/>
                <w:sz w:val="24"/>
                <w:szCs w:val="24"/>
                <w:lang w:val="en-IN" w:eastAsia="en-US" w:bidi="ar-SA"/>
              </w:rPr>
              <w:t>Earlier validation result belongs to a separate checkpoint</w:t>
            </w:r>
          </w:p>
        </w:tc>
      </w:tr>
      <w:tr>
        <w:trPr>
          <w:cantSplit w:val="true"/>
        </w:trPr>
        <w:tc>
          <w:tcPr>
            <w:tcW w:w="2160" w:type="dxa"/>
            <w:tcBorders/>
            <w:vAlign w:val="center"/>
          </w:tcPr>
          <w:p>
            <w:pPr>
              <w:pStyle w:val="Normal"/>
              <w:widowControl/>
              <w:spacing w:lineRule="auto" w:line="240" w:before="0" w:after="0"/>
              <w:rPr>
                <w:rFonts w:cs=""/>
                <w:kern w:val="2"/>
                <w:sz w:val="24"/>
                <w:szCs w:val="24"/>
                <w:lang w:val="en-IN" w:eastAsia="en-US" w:bidi="ar-SA"/>
              </w:rPr>
            </w:pPr>
            <w:r>
              <w:rPr>
                <w:rFonts w:eastAsia="Times New Roman" w:cs=""/>
                <w:b w:val="false"/>
                <w:color w:val="000000"/>
                <w:kern w:val="2"/>
                <w:sz w:val="24"/>
                <w:szCs w:val="24"/>
                <w:lang w:val="en-IN" w:eastAsia="en-US" w:bidi="ar-SA"/>
              </w:rPr>
              <w:t>Multimodal fusion</w:t>
            </w:r>
          </w:p>
        </w:tc>
        <w:tc>
          <w:tcPr>
            <w:tcW w:w="576" w:type="dxa"/>
            <w:tcBorders/>
            <w:vAlign w:val="center"/>
          </w:tcPr>
          <w:p>
            <w:pPr>
              <w:pStyle w:val="Normal"/>
              <w:widowControl/>
              <w:spacing w:lineRule="auto" w:line="240" w:before="0" w:after="0"/>
              <w:rPr>
                <w:rFonts w:cs=""/>
                <w:kern w:val="2"/>
                <w:sz w:val="24"/>
                <w:szCs w:val="24"/>
                <w:lang w:val="en-IN" w:eastAsia="en-US" w:bidi="ar-SA"/>
              </w:rPr>
            </w:pPr>
            <w:r>
              <w:rPr>
                <w:rFonts w:eastAsia="Times New Roman" w:cs=""/>
                <w:b w:val="false"/>
                <w:color w:val="000000"/>
                <w:kern w:val="2"/>
                <w:sz w:val="24"/>
                <w:szCs w:val="24"/>
                <w:lang w:val="en-IN" w:eastAsia="en-US" w:bidi="ar-SA"/>
              </w:rPr>
              <w:t>—</w:t>
            </w:r>
          </w:p>
        </w:tc>
        <w:tc>
          <w:tcPr>
            <w:tcW w:w="2880" w:type="dxa"/>
            <w:tcBorders/>
            <w:vAlign w:val="center"/>
          </w:tcPr>
          <w:p>
            <w:pPr>
              <w:pStyle w:val="Normal"/>
              <w:widowControl/>
              <w:spacing w:lineRule="auto" w:line="240" w:before="0" w:after="0"/>
              <w:rPr>
                <w:rFonts w:cs=""/>
                <w:kern w:val="2"/>
                <w:sz w:val="24"/>
                <w:szCs w:val="24"/>
                <w:lang w:val="en-IN" w:eastAsia="en-US" w:bidi="ar-SA"/>
              </w:rPr>
            </w:pPr>
            <w:r>
              <w:rPr>
                <w:rFonts w:eastAsia="Times New Roman" w:cs=""/>
                <w:b w:val="false"/>
                <w:color w:val="000000"/>
                <w:kern w:val="2"/>
                <w:sz w:val="24"/>
                <w:szCs w:val="24"/>
                <w:lang w:val="en-IN" w:eastAsia="en-US" w:bidi="ar-SA"/>
              </w:rPr>
              <w:t>No paired held-out evaluation</w:t>
            </w:r>
          </w:p>
        </w:tc>
        <w:tc>
          <w:tcPr>
            <w:tcW w:w="3383" w:type="dxa"/>
            <w:tcBorders/>
            <w:vAlign w:val="center"/>
          </w:tcPr>
          <w:p>
            <w:pPr>
              <w:pStyle w:val="Normal"/>
              <w:widowControl/>
              <w:spacing w:lineRule="auto" w:line="240" w:before="0" w:after="0"/>
              <w:rPr>
                <w:rFonts w:cs=""/>
                <w:kern w:val="2"/>
                <w:sz w:val="24"/>
                <w:szCs w:val="24"/>
                <w:lang w:val="en-IN" w:eastAsia="en-US" w:bidi="ar-SA"/>
              </w:rPr>
            </w:pPr>
            <w:r>
              <w:rPr>
                <w:rFonts w:eastAsia="Times New Roman" w:cs=""/>
                <w:b w:val="false"/>
                <w:color w:val="000000"/>
                <w:kern w:val="2"/>
                <w:sz w:val="24"/>
                <w:szCs w:val="24"/>
                <w:lang w:val="en-IN" w:eastAsia="en-US" w:bidi="ar-SA"/>
              </w:rPr>
              <w:t>Earlier ablation outputs excluded as unverified</w:t>
            </w:r>
          </w:p>
        </w:tc>
      </w:tr>
    </w:tbl>
    <w:p>
      <w:pPr>
        <w:pStyle w:val="Normal"/>
        <w:spacing w:before="0" w:after="20"/>
        <w:rPr>
          <w:sz w:val="24"/>
          <w:szCs w:val="24"/>
        </w:rPr>
      </w:pPr>
      <w:r>
        <w:rPr>
          <w:sz w:val="24"/>
          <w:szCs w:val="24"/>
        </w:rPr>
      </w:r>
    </w:p>
    <w:p>
      <w:pPr>
        <w:pStyle w:val="Heading1"/>
        <w:jc w:val="left"/>
        <w:rPr>
          <w:sz w:val="24"/>
          <w:szCs w:val="24"/>
        </w:rPr>
      </w:pPr>
      <w:r>
        <w:rPr>
          <w:sz w:val="24"/>
          <w:szCs w:val="24"/>
        </w:rPr>
        <w:t>VII. DISCUSSION</w:t>
      </w:r>
    </w:p>
    <w:p>
      <w:pPr>
        <w:pStyle w:val="Normal"/>
        <w:rPr>
          <w:sz w:val="24"/>
          <w:szCs w:val="24"/>
        </w:rPr>
      </w:pPr>
      <w:r>
        <w:rPr>
          <w:rFonts w:eastAsia="Times New Roman"/>
          <w:sz w:val="24"/>
          <w:szCs w:val="24"/>
        </w:rPr>
        <w:t>The project’s strongest demonstrated result is systems integration: three modality-specific inference paths can be invoked locally through a shared analyst workflow, including partial-input analysis and browser-generated reports. The fusion evaluation also yields a methodological lesson: a shared class label is not evidence that independently sourced email, audio, and video belong to one incident. Without incident-level correspondence, a fusion score tests arithmetic over selected inputs, not whether multimodal evidence improves a real investigation. This distinction explains why the earlier 99.1% fusion claim is excluded and defines the evidence a future performance study must collect.</w:t>
      </w:r>
    </w:p>
    <w:p>
      <w:pPr>
        <w:pStyle w:val="Normal"/>
        <w:rPr>
          <w:sz w:val="24"/>
          <w:szCs w:val="24"/>
        </w:rPr>
      </w:pPr>
      <w:r>
        <w:rPr>
          <w:rFonts w:eastAsia="Times New Roman"/>
          <w:sz w:val="24"/>
          <w:szCs w:val="24"/>
        </w:rPr>
        <w:t>The active email re-score has a materially higher false-positive rate than the earlier Colab result. Excluding the single API-clipped record changes the accuracy only from 94.95% to 94.98% and the false-positive count from 173 to 172; clipping therefore does not explain the discrepancy. The remaining difference cannot be attributed using the available artifacts because the earlier run’s checkpoint, split-generation history, and full preprocessing lineage are not linked to the active deployment. The audio figure also requires stronger restraint: 98.8% accuracy on a spoof-heavy sample with only 51 genuine examples is not a reliable operating estimate, and its 9.80% false-positive rate is based on five cases. Both results require source-disjoint evaluation before broader conclusions.</w:t>
      </w:r>
    </w:p>
    <w:p>
      <w:pPr>
        <w:pStyle w:val="Normal"/>
        <w:rPr>
          <w:sz w:val="24"/>
          <w:szCs w:val="24"/>
        </w:rPr>
      </w:pPr>
      <w:r>
        <w:rPr>
          <w:rFonts w:eastAsia="Times New Roman"/>
          <w:sz w:val="24"/>
          <w:szCs w:val="24"/>
        </w:rPr>
        <w:t>The fusion rule is interpretable but assumes comparable modality scores. Logit recentering at the configured video threshold does not calibrate across models. Future evaluation should lock thresholds on validation data, compare mean and veto against baselines, and report all seven non-empty modality subsets with source-group separation.</w:t>
      </w:r>
    </w:p>
    <w:p>
      <w:pPr>
        <w:pStyle w:val="Heading1"/>
        <w:jc w:val="left"/>
        <w:rPr>
          <w:sz w:val="24"/>
          <w:szCs w:val="24"/>
        </w:rPr>
      </w:pPr>
      <w:r>
        <w:rPr>
          <w:sz w:val="24"/>
          <w:szCs w:val="24"/>
        </w:rPr>
        <w:t>VIII. LIMITATIONS AND THREATS TO VALIDITY</w:t>
      </w:r>
    </w:p>
    <w:p>
      <w:pPr>
        <w:pStyle w:val="Normal"/>
        <w:rPr>
          <w:sz w:val="24"/>
          <w:szCs w:val="24"/>
        </w:rPr>
      </w:pPr>
      <w:r>
        <w:rPr>
          <w:rFonts w:eastAsia="Times New Roman"/>
          <w:sz w:val="24"/>
          <w:szCs w:val="24"/>
        </w:rPr>
        <w:t>First, checkpoint provenance is incomplete. The active email and audio weights cannot be conclusively linked to training histories that exclude the evaluated rows; the active video checkpoint has no corresponding test evaluation. Second, the audio split is sample-level and lacks speaker/session identifiers. The documented video validation partition is sample-level, with no source-video grouping evidence. These designs may allow correlated content to cross partitions and do not establish generalization to unseen sources.</w:t>
      </w:r>
    </w:p>
    <w:p>
      <w:pPr>
        <w:pStyle w:val="Normal"/>
        <w:rPr>
          <w:sz w:val="24"/>
          <w:szCs w:val="24"/>
        </w:rPr>
      </w:pPr>
      <w:r>
        <w:rPr>
          <w:rFonts w:eastAsia="Times New Roman"/>
          <w:sz w:val="24"/>
          <w:szCs w:val="24"/>
        </w:rPr>
        <w:t>Third, the multimodal records are not a verified paired BEC corpus. Combining unrelated samples or merely sharing labels does not create a valid multimodal case. Fourth, the configured video threshold lacks a preserved validation manifest and should not be called a verified calibration. Fifth, the stress examples and screenshots are illustrative; they cannot support population-level accuracy or fault-tolerance claims. Finally, local Docker configuration and local model loading reduce dependence on external inference services. They do not establish air-gapped operation; that claim would require confirmation of host network controls and software supply-chain conditions outside the model code.</w:t>
      </w:r>
    </w:p>
    <w:p>
      <w:pPr>
        <w:pStyle w:val="Heading1"/>
        <w:jc w:val="left"/>
        <w:rPr>
          <w:sz w:val="24"/>
          <w:szCs w:val="24"/>
        </w:rPr>
      </w:pPr>
      <w:r>
        <w:rPr>
          <w:sz w:val="24"/>
          <w:szCs w:val="24"/>
        </w:rPr>
        <w:t>IX. CONCLUSION AND FUTURE WORK</w:t>
      </w:r>
    </w:p>
    <w:p>
      <w:pPr>
        <w:pStyle w:val="Normal"/>
        <w:rPr>
          <w:sz w:val="24"/>
          <w:szCs w:val="24"/>
        </w:rPr>
      </w:pPr>
      <w:r>
        <w:rPr>
          <w:rFonts w:eastAsia="Times New Roman"/>
          <w:sz w:val="24"/>
          <w:szCs w:val="24"/>
        </w:rPr>
        <w:t>SynthGuard integrates email, audio, and video classifiers in a locally deployed analyst workflow and applies an explicit equal-weight score rule with a high-confidence biometric veto. The available audio result is especially weak: 98.8% accuracy on a spoof-heavy sample with only 51 genuine cases is not a dependable operating estimate. The current repository supports detailed architectural reporting and qualified diagnostic re-scores, but not validated performance claims for the active checkpoints as a whole or for paired multimodal fusion. The study’s fusion contribution is to make the incident-pairing requirement explicit: label-matched records from independent sources do not validate multimodal performance. Future work should first establish checkpoint and data lineage, then create source-disjoint validation and test partitions, calibrate thresholds on validation data only, and curate paired scenarios whose modalities belong to the same investigation. The final evaluation should publish per-sample scores, confusion counts, source IDs or pseudonymous group IDs, threshold settings, checkpoint hashes, confidence intervals, and reproducible run metadata. Until then, SynthGuard should be presented as an integrated prototype with evaluation in progress, not as a system proven to achieve a particular multimodal accuracy.</w:t>
      </w:r>
      <w:r>
        <w:br w:type="page"/>
      </w:r>
    </w:p>
    <w:p>
      <w:pPr>
        <w:pStyle w:val="Heading1"/>
        <w:jc w:val="left"/>
        <w:rPr>
          <w:sz w:val="24"/>
          <w:szCs w:val="24"/>
        </w:rPr>
      </w:pPr>
      <w:r>
        <w:rPr>
          <w:sz w:val="24"/>
          <w:szCs w:val="24"/>
        </w:rPr>
        <w:t>REFERENCES</w:t>
      </w:r>
    </w:p>
    <w:p>
      <w:pPr>
        <w:pStyle w:val="Normal"/>
        <w:spacing w:lineRule="auto" w:line="240" w:before="0" w:after="30"/>
        <w:ind w:hanging="360" w:left="360"/>
        <w:jc w:val="left"/>
        <w:rPr>
          <w:sz w:val="24"/>
          <w:szCs w:val="24"/>
        </w:rPr>
      </w:pPr>
      <w:r>
        <w:rPr>
          <w:rFonts w:eastAsia="Times New Roman"/>
          <w:sz w:val="24"/>
          <w:szCs w:val="24"/>
        </w:rPr>
        <w:t>[1] V. Sanh, L. Debut, J. Chaumond, and T. Wolf, “DistilBERT, a distilled version of BERT: smaller, faster, cheaper and lighter,” arXiv:1910.01108, 2019.</w:t>
      </w:r>
    </w:p>
    <w:p>
      <w:pPr>
        <w:pStyle w:val="Normal"/>
        <w:spacing w:lineRule="auto" w:line="240" w:before="0" w:after="30"/>
        <w:ind w:hanging="360" w:left="360"/>
        <w:jc w:val="left"/>
        <w:rPr>
          <w:sz w:val="24"/>
          <w:szCs w:val="24"/>
        </w:rPr>
      </w:pPr>
      <w:r>
        <w:rPr>
          <w:rFonts w:eastAsia="Times New Roman"/>
          <w:sz w:val="24"/>
          <w:szCs w:val="24"/>
        </w:rPr>
        <w:t>[2] J. Yamagishi et al., “ASVspoof 2021: accelerating progress in spoofed and deepfake speech detection,” in Proc. ASVspoof 2021 Workshop, 2021, pp. 47–54, doi: 10.21437/ASVSPOOF.2021-8.</w:t>
      </w:r>
    </w:p>
    <w:p>
      <w:pPr>
        <w:pStyle w:val="Normal"/>
        <w:spacing w:lineRule="auto" w:line="240" w:before="0" w:after="30"/>
        <w:ind w:hanging="360" w:left="360"/>
        <w:jc w:val="left"/>
        <w:rPr>
          <w:sz w:val="24"/>
          <w:szCs w:val="24"/>
        </w:rPr>
      </w:pPr>
      <w:r>
        <w:rPr>
          <w:rFonts w:eastAsia="Times New Roman"/>
          <w:sz w:val="24"/>
          <w:szCs w:val="24"/>
        </w:rPr>
        <w:t>[3] S. B. Davis and P. Mermelstein, “Comparison of parametric representations for monosyllabic word recognition in continuously spoken sentences,” IEEE Trans. Acoust., Speech, Signal Process., vol. 28, no. 4, pp. 357–366, 1980.</w:t>
      </w:r>
    </w:p>
    <w:p>
      <w:pPr>
        <w:pStyle w:val="Normal"/>
        <w:spacing w:lineRule="auto" w:line="240" w:before="0" w:after="30"/>
        <w:ind w:hanging="360" w:left="360"/>
        <w:jc w:val="left"/>
        <w:rPr>
          <w:sz w:val="24"/>
          <w:szCs w:val="24"/>
        </w:rPr>
      </w:pPr>
      <w:r>
        <w:rPr>
          <w:rFonts w:eastAsia="Times New Roman"/>
          <w:sz w:val="24"/>
          <w:szCs w:val="24"/>
        </w:rPr>
        <w:t>[4] A. Rössler et al., “FaceForensics++: Learning to Detect Manipulated Facial Images,” in Proc. IEEE/CVF Int. Conf. Comput. Vis. (ICCV), 2019, pp. 1–11, doi: 10.1109/ICCV.2019.00009.</w:t>
      </w:r>
    </w:p>
    <w:p>
      <w:pPr>
        <w:pStyle w:val="Normal"/>
        <w:spacing w:lineRule="auto" w:line="240" w:before="0" w:after="30"/>
        <w:ind w:hanging="360" w:left="360"/>
        <w:jc w:val="left"/>
        <w:rPr>
          <w:sz w:val="24"/>
          <w:szCs w:val="24"/>
        </w:rPr>
      </w:pPr>
      <w:r>
        <w:rPr>
          <w:rFonts w:eastAsia="Times New Roman"/>
          <w:sz w:val="24"/>
          <w:szCs w:val="24"/>
        </w:rPr>
        <w:t>[5] K. Zhang, Z. Zhang, Z. Li, and Y. Qiao, “Joint face detection and alignment using multitask cascaded convolutional networks,” IEEE Signal Process. Lett., vol. 23, no. 10, pp. 1499–1503, 2016, doi: 10.1109/LSP.2016.2603342.</w:t>
      </w:r>
    </w:p>
    <w:p>
      <w:pPr>
        <w:pStyle w:val="Normal"/>
        <w:spacing w:lineRule="auto" w:line="240" w:before="0" w:after="30"/>
        <w:ind w:hanging="360" w:left="360"/>
        <w:jc w:val="left"/>
        <w:rPr>
          <w:sz w:val="24"/>
          <w:szCs w:val="24"/>
        </w:rPr>
      </w:pPr>
      <w:r>
        <w:rPr>
          <w:rFonts w:eastAsia="Times New Roman"/>
          <w:sz w:val="24"/>
          <w:szCs w:val="24"/>
        </w:rPr>
        <w:t>[6] M. Tan and Q. Le, “EfficientNet: Rethinking Model Scaling for Convolutional Neural Networks,” in Proc. 36th Int. Conf. Machine Learning, PMLR, vol. 97, 2019, pp. 6105–6114.</w:t>
      </w:r>
    </w:p>
    <w:p>
      <w:pPr>
        <w:pStyle w:val="Normal"/>
        <w:spacing w:lineRule="auto" w:line="240" w:before="0" w:after="30"/>
        <w:ind w:hanging="360" w:left="360"/>
        <w:jc w:val="left"/>
        <w:rPr>
          <w:sz w:val="24"/>
          <w:szCs w:val="24"/>
        </w:rPr>
      </w:pPr>
      <w:r>
        <w:rPr>
          <w:rFonts w:eastAsia="Times New Roman"/>
          <w:sz w:val="24"/>
          <w:szCs w:val="24"/>
        </w:rPr>
        <w:t>[7] J. Kittler, M. Hatef, R. P. W. Duin, and J. Matas, “On combining classifiers,” IEEE Trans. Pattern Anal. Mach. Intell., vol. 20, no. 3, pp. 226–239, 1998, doi: 10.1109/34.667881.</w:t>
      </w:r>
    </w:p>
    <w:p>
      <w:pPr>
        <w:pStyle w:val="Normal"/>
        <w:spacing w:lineRule="auto" w:line="240" w:before="0" w:after="30"/>
        <w:ind w:hanging="360" w:left="360"/>
        <w:jc w:val="left"/>
        <w:rPr>
          <w:sz w:val="24"/>
          <w:szCs w:val="24"/>
        </w:rPr>
      </w:pPr>
      <w:r>
        <w:rPr>
          <w:rFonts w:eastAsia="Times New Roman"/>
          <w:sz w:val="24"/>
          <w:szCs w:val="24"/>
        </w:rPr>
        <w:t>[8] T. Oorloff et al., “AVFF: Audio-Visual Feature Fusion for Video Deepfake Detection,” in Proc. IEEE/CVF Conf. Comput. Vis. Pattern Recognit. (CVPR), 2024.</w:t>
      </w:r>
    </w:p>
    <w:p>
      <w:pPr>
        <w:pStyle w:val="Normal"/>
        <w:spacing w:lineRule="auto" w:line="240" w:before="0" w:after="30"/>
        <w:ind w:hanging="360" w:left="360"/>
        <w:jc w:val="left"/>
        <w:rPr>
          <w:sz w:val="24"/>
          <w:szCs w:val="24"/>
        </w:rPr>
      </w:pPr>
      <w:r>
        <w:rPr>
          <w:rFonts w:eastAsia="Times New Roman"/>
          <w:sz w:val="24"/>
          <w:szCs w:val="24"/>
        </w:rPr>
        <w:t>[9] SynthGuard project, backend/main.py, docker-compose.yml, and frontend report modules, local inference, deployment, and client-side report workflow, project repository, accessed 19 October 2026.</w:t>
      </w:r>
    </w:p>
    <w:p>
      <w:pPr>
        <w:pStyle w:val="Normal"/>
        <w:spacing w:lineRule="auto" w:line="240" w:before="0" w:after="30"/>
        <w:ind w:hanging="360" w:left="360"/>
        <w:jc w:val="left"/>
        <w:rPr>
          <w:sz w:val="24"/>
          <w:szCs w:val="24"/>
        </w:rPr>
      </w:pPr>
      <w:r>
        <w:rPr>
          <w:rFonts w:eastAsia="Times New Roman"/>
          <w:sz w:val="24"/>
          <w:szCs w:val="24"/>
        </w:rPr>
        <w:t>[10] SynthGuard project, src/fusion.py, normalized score aggregation and biometric veto implementation, project repository, accessed 19 October 2026.</w:t>
      </w:r>
    </w:p>
    <w:p>
      <w:pPr>
        <w:pStyle w:val="Normal"/>
        <w:spacing w:lineRule="auto" w:line="240" w:before="0" w:after="30"/>
        <w:ind w:hanging="360" w:left="360"/>
        <w:jc w:val="left"/>
        <w:rPr>
          <w:sz w:val="24"/>
          <w:szCs w:val="24"/>
        </w:rPr>
      </w:pPr>
      <w:r>
        <w:rPr>
          <w:rFonts w:eastAsia="Times New Roman"/>
          <w:sz w:val="24"/>
          <w:szCs w:val="24"/>
        </w:rPr>
        <w:t>[11] SynthGuard project, outputs/reports/email_test_metrics.json and email_test_predictions.csv, current-checkpoint email re-score and qualification metadata, generated 18 October 2026.</w:t>
      </w:r>
    </w:p>
    <w:p>
      <w:pPr>
        <w:pStyle w:val="Normal"/>
        <w:spacing w:lineRule="auto" w:line="240" w:before="0" w:after="30"/>
        <w:ind w:hanging="360" w:left="360"/>
        <w:jc w:val="left"/>
        <w:rPr>
          <w:sz w:val="24"/>
          <w:szCs w:val="24"/>
        </w:rPr>
      </w:pPr>
      <w:r>
        <w:rPr>
          <w:rFonts w:eastAsia="Times New Roman"/>
          <w:sz w:val="24"/>
          <w:szCs w:val="24"/>
        </w:rPr>
        <w:t>[12] SynthGuard project, outputs/reports/audio_reconstructed_test_metrics.json and audio_reconstructed_test_predictions.csv, reconstructed audio split re-score and qualification metadata, generated 18 October 2026.</w:t>
      </w:r>
    </w:p>
    <w:p>
      <w:pPr>
        <w:pStyle w:val="Normal"/>
        <w:spacing w:lineRule="auto" w:line="240" w:before="0" w:after="30"/>
        <w:ind w:hanging="360" w:left="360"/>
        <w:jc w:val="left"/>
        <w:rPr>
          <w:sz w:val="24"/>
          <w:szCs w:val="24"/>
        </w:rPr>
      </w:pPr>
      <w:r>
        <w:rPr>
          <w:rFonts w:eastAsia="Times New Roman"/>
          <w:sz w:val="24"/>
          <w:szCs w:val="24"/>
        </w:rPr>
        <w:t>[13] SynthGuard project, outputs/reports/README.md, status and limitations of historical ablation outputs, project repository, accessed 19 October 2026.</w:t>
      </w:r>
    </w:p>
    <w:sectPr>
      <w:footerReference w:type="even" r:id="rId4"/>
      <w:footerReference w:type="default" r:id="rId5"/>
      <w:footerReference w:type="first" r:id="rId6"/>
      <w:type w:val="nextPage"/>
      <w:pgSz w:w="11906" w:h="16838"/>
      <w:pgMar w:left="1010" w:right="1010" w:gutter="0" w:header="0" w:top="1010" w:footer="454" w:bottom="1009"/>
      <w:pgBorders w:display="allPages" w:offsetFrom="page">
        <w:top w:val="thickThinMediumGap" w:sz="18" w:space="24" w:color="000000"/>
        <w:left w:val="thickThinMediumGap" w:sz="18" w:space="24" w:color="000000"/>
        <w:bottom w:val="thickThinMediumGap" w:sz="18" w:space="24" w:color="000000"/>
        <w:right w:val="thickThinMediumGap" w:sz="18" w:space="24" w:color="000000"/>
      </w:pgBorders>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auto"/>
    <w:pitch w:val="default"/>
  </w:font>
  <w:font w:name="Times New Roman">
    <w:charset w:val="01"/>
    <w:family w:val="roman"/>
    <w:pitch w:val="default"/>
  </w:font>
  <w:font w:name="Aptos Display">
    <w:charset w:val="01"/>
    <w:family w:val="auto"/>
    <w:pitch w:val="default"/>
  </w:font>
  <w:font w:name="Aptos Display">
    <w:charset w:val="01"/>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576554048"/>
    </w:sdtPr>
    <w:sdtContent>
      <w:p>
        <w:pPr>
          <w:pStyle w:val="Footer"/>
          <w:jc w:val="center"/>
          <w:rPr>
            <w:rFonts w:ascii="Times New Roman" w:hAnsi="Times New Roman" w:cs="Times New Roman"/>
            <w:b/>
            <w:bCs/>
            <w:sz w:val="20"/>
            <w:szCs w:val="20"/>
          </w:rPr>
        </w:pPr>
        <w:r>
          <w:rPr>
            <w:rFonts w:cs="Times New Roman"/>
            <w:b/>
            <w:bCs/>
            <w:sz w:val="20"/>
            <w:szCs w:val="20"/>
          </w:rPr>
          <w:fldChar w:fldCharType="begin"/>
        </w:r>
        <w:r>
          <w:rPr>
            <w:sz w:val="20"/>
            <w:b/>
            <w:szCs w:val="20"/>
            <w:bCs/>
            <w:rFonts w:cs="Times New Roman"/>
          </w:rPr>
          <w:instrText xml:space="preserve"> PAGE </w:instrText>
        </w:r>
        <w:r>
          <w:rPr>
            <w:sz w:val="20"/>
            <w:b/>
            <w:szCs w:val="20"/>
            <w:bCs/>
            <w:rFonts w:cs="Times New Roman"/>
          </w:rPr>
          <w:fldChar w:fldCharType="separate"/>
        </w:r>
        <w:r>
          <w:rPr>
            <w:sz w:val="20"/>
            <w:b/>
            <w:szCs w:val="20"/>
            <w:bCs/>
            <w:rFonts w:cs="Times New Roman"/>
          </w:rPr>
          <w:t>10</w:t>
        </w:r>
        <w:r>
          <w:rPr>
            <w:sz w:val="20"/>
            <w:b/>
            <w:szCs w:val="20"/>
            <w:bCs/>
            <w:rFonts w:cs="Times New Roman"/>
          </w:rPr>
          <w:fldChar w:fldCharType="end"/>
        </w:r>
      </w:p>
    </w:sdtContent>
  </w:sdt>
  <w:p>
    <w:pPr>
      <w:pStyle w:val="Footer"/>
      <w:jc w:val="center"/>
      <w:rPr>
        <w:lang w:val="en-US"/>
      </w:rPr>
    </w:pPr>
    <w:r>
      <w:rPr>
        <w:lang w:val="en-US"/>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576554048"/>
    </w:sdtPr>
    <w:sdtContent>
      <w:p>
        <w:pPr>
          <w:pStyle w:val="Footer"/>
          <w:jc w:val="center"/>
          <w:rPr>
            <w:rFonts w:ascii="Times New Roman" w:hAnsi="Times New Roman" w:cs="Times New Roman"/>
            <w:b/>
            <w:bCs/>
            <w:sz w:val="20"/>
            <w:szCs w:val="20"/>
          </w:rPr>
        </w:pPr>
        <w:r>
          <w:rPr>
            <w:rFonts w:cs="Times New Roman"/>
            <w:b/>
            <w:bCs/>
            <w:sz w:val="20"/>
            <w:szCs w:val="20"/>
          </w:rPr>
          <w:fldChar w:fldCharType="begin"/>
        </w:r>
        <w:r>
          <w:rPr>
            <w:sz w:val="20"/>
            <w:b/>
            <w:szCs w:val="20"/>
            <w:bCs/>
            <w:rFonts w:cs="Times New Roman"/>
          </w:rPr>
          <w:instrText xml:space="preserve"> PAGE </w:instrText>
        </w:r>
        <w:r>
          <w:rPr>
            <w:sz w:val="20"/>
            <w:b/>
            <w:szCs w:val="20"/>
            <w:bCs/>
            <w:rFonts w:cs="Times New Roman"/>
          </w:rPr>
          <w:fldChar w:fldCharType="separate"/>
        </w:r>
        <w:r>
          <w:rPr>
            <w:sz w:val="20"/>
            <w:b/>
            <w:szCs w:val="20"/>
            <w:bCs/>
            <w:rFonts w:cs="Times New Roman"/>
          </w:rPr>
          <w:t>10</w:t>
        </w:r>
        <w:r>
          <w:rPr>
            <w:sz w:val="20"/>
            <w:b/>
            <w:szCs w:val="20"/>
            <w:bCs/>
            <w:rFonts w:cs="Times New Roman"/>
          </w:rPr>
          <w:fldChar w:fldCharType="end"/>
        </w:r>
      </w:p>
    </w:sdtContent>
  </w:sdt>
  <w:p>
    <w:pPr>
      <w:pStyle w:val="Footer"/>
      <w:jc w:val="center"/>
      <w:rPr>
        <w:lang w:val="en-US"/>
      </w:rPr>
    </w:pPr>
    <w:r>
      <w:rPr>
        <w:lang w:val="en-US"/>
      </w:rPr>
    </w:r>
  </w:p>
</w:ftr>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2"/>
        <w:szCs w:val="22"/>
        <w:lang w:val="en-IN"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133b2"/>
    <w:pPr>
      <w:widowControl/>
      <w:bidi w:val="0"/>
      <w:spacing w:lineRule="auto" w:line="269" w:before="0" w:after="100"/>
      <w:jc w:val="both"/>
    </w:pPr>
    <w:rPr>
      <w:rFonts w:ascii="Times New Roman" w:hAnsi="Times New Roman" w:eastAsia="Times New Roman" w:cs="" w:cstheme="minorBidi"/>
      <w:color w:val="auto"/>
      <w:kern w:val="2"/>
      <w:sz w:val="22"/>
      <w:szCs w:val="22"/>
      <w:lang w:val="en-IN" w:eastAsia="en-US" w:bidi="ar-SA"/>
      <w14:ligatures w14:val="standardContextual"/>
    </w:rPr>
  </w:style>
  <w:style w:type="paragraph" w:styleId="Heading1">
    <w:name w:val="heading 1"/>
    <w:basedOn w:val="Normal"/>
    <w:next w:val="Normal"/>
    <w:link w:val="Heading1Char"/>
    <w:uiPriority w:val="9"/>
    <w:qFormat/>
    <w:rsid w:val="00cb7793"/>
    <w:pPr>
      <w:keepNext w:val="true"/>
      <w:keepLines/>
      <w:spacing w:lineRule="auto" w:line="240" w:before="180" w:after="80"/>
      <w:outlineLvl w:val="0"/>
    </w:pPr>
    <w:rPr>
      <w:rFonts w:ascii="Times New Roman" w:hAnsi="Times New Roman" w:eastAsia="" w:cs="" w:cstheme="majorBidi" w:eastAsiaTheme="majorEastAsia"/>
      <w:b/>
      <w:color w:val="000000"/>
      <w:sz w:val="24"/>
      <w:szCs w:val="40"/>
    </w:rPr>
  </w:style>
  <w:style w:type="paragraph" w:styleId="Heading2">
    <w:name w:val="heading 2"/>
    <w:basedOn w:val="Normal"/>
    <w:next w:val="Normal"/>
    <w:link w:val="Heading2Char"/>
    <w:uiPriority w:val="9"/>
    <w:unhideWhenUsed/>
    <w:qFormat/>
    <w:rsid w:val="00876402"/>
    <w:pPr>
      <w:keepNext w:val="true"/>
      <w:keepLines/>
      <w:spacing w:lineRule="auto" w:line="240" w:before="180" w:after="80"/>
      <w:outlineLvl w:val="1"/>
    </w:pPr>
    <w:rPr>
      <w:rFonts w:ascii="Times New Roman" w:hAnsi="Times New Roman" w:eastAsia="" w:cs="" w:cstheme="majorBidi" w:eastAsiaTheme="majorEastAsia"/>
      <w:b/>
      <w:color w:val="000000"/>
      <w:szCs w:val="32"/>
    </w:rPr>
  </w:style>
  <w:style w:type="paragraph" w:styleId="Heading3">
    <w:name w:val="heading 3"/>
    <w:basedOn w:val="Normal"/>
    <w:next w:val="Normal"/>
    <w:link w:val="Heading3Char"/>
    <w:uiPriority w:val="9"/>
    <w:semiHidden/>
    <w:unhideWhenUsed/>
    <w:qFormat/>
    <w:rsid w:val="00eb745d"/>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eb745d"/>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eb745d"/>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eb745d"/>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eb745d"/>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eb745d"/>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eb745d"/>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cb7793"/>
    <w:rPr>
      <w:rFonts w:ascii="Times New Roman" w:hAnsi="Times New Roman" w:eastAsia="" w:cs="" w:cstheme="majorBidi" w:eastAsiaTheme="majorEastAsia"/>
      <w:b/>
      <w:color w:themeColor="text1" w:val="000000"/>
      <w:sz w:val="24"/>
      <w:szCs w:val="40"/>
    </w:rPr>
  </w:style>
  <w:style w:type="character" w:styleId="Heading2Char" w:customStyle="1">
    <w:name w:val="Heading 2 Char"/>
    <w:basedOn w:val="DefaultParagraphFont"/>
    <w:link w:val="Heading2"/>
    <w:uiPriority w:val="9"/>
    <w:qFormat/>
    <w:rsid w:val="00876402"/>
    <w:rPr>
      <w:rFonts w:ascii="Times New Roman" w:hAnsi="Times New Roman" w:eastAsia="" w:cs="" w:cstheme="majorBidi" w:eastAsiaTheme="majorEastAsia"/>
      <w:b/>
      <w:color w:themeColor="text1" w:val="000000"/>
      <w:szCs w:val="32"/>
    </w:rPr>
  </w:style>
  <w:style w:type="character" w:styleId="Heading3Char" w:customStyle="1">
    <w:name w:val="Heading 3 Char"/>
    <w:basedOn w:val="DefaultParagraphFont"/>
    <w:link w:val="Heading3"/>
    <w:uiPriority w:val="9"/>
    <w:semiHidden/>
    <w:qFormat/>
    <w:rsid w:val="00eb745d"/>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eb745d"/>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eb745d"/>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eb745d"/>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eb745d"/>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eb745d"/>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eb745d"/>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eb745d"/>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eb745d"/>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eb745d"/>
    <w:rPr>
      <w:i/>
      <w:iCs/>
      <w:color w:themeColor="text1" w:themeTint="bf" w:val="404040"/>
    </w:rPr>
  </w:style>
  <w:style w:type="character" w:styleId="IntenseEmphasis">
    <w:name w:val="Intense Emphasis"/>
    <w:basedOn w:val="DefaultParagraphFont"/>
    <w:uiPriority w:val="21"/>
    <w:qFormat/>
    <w:rsid w:val="00eb745d"/>
    <w:rPr>
      <w:i/>
      <w:iCs/>
      <w:color w:themeColor="accent1" w:themeShade="bf" w:val="0F4761"/>
    </w:rPr>
  </w:style>
  <w:style w:type="character" w:styleId="IntenseQuoteChar" w:customStyle="1">
    <w:name w:val="Intense Quote Char"/>
    <w:basedOn w:val="DefaultParagraphFont"/>
    <w:link w:val="IntenseQuote"/>
    <w:uiPriority w:val="30"/>
    <w:qFormat/>
    <w:rsid w:val="00eb745d"/>
    <w:rPr>
      <w:i/>
      <w:iCs/>
      <w:color w:themeColor="accent1" w:themeShade="bf" w:val="0F4761"/>
    </w:rPr>
  </w:style>
  <w:style w:type="character" w:styleId="IntenseReference">
    <w:name w:val="Intense Reference"/>
    <w:basedOn w:val="DefaultParagraphFont"/>
    <w:uiPriority w:val="32"/>
    <w:qFormat/>
    <w:rsid w:val="00eb745d"/>
    <w:rPr>
      <w:b/>
      <w:bCs/>
      <w:smallCaps/>
      <w:color w:themeColor="accent1" w:themeShade="bf" w:val="0F4761"/>
      <w:spacing w:val="5"/>
    </w:rPr>
  </w:style>
  <w:style w:type="character" w:styleId="HeaderChar" w:customStyle="1">
    <w:name w:val="Header Char"/>
    <w:basedOn w:val="DefaultParagraphFont"/>
    <w:link w:val="Header"/>
    <w:uiPriority w:val="99"/>
    <w:qFormat/>
    <w:rsid w:val="00fe5537"/>
    <w:rPr/>
  </w:style>
  <w:style w:type="character" w:styleId="FooterChar" w:customStyle="1">
    <w:name w:val="Footer Char"/>
    <w:basedOn w:val="DefaultParagraphFont"/>
    <w:link w:val="Footer"/>
    <w:uiPriority w:val="99"/>
    <w:qFormat/>
    <w:rsid w:val="00fe5537"/>
    <w:rPr/>
  </w:style>
  <w:style w:type="character" w:styleId="Hyperlink">
    <w:name w:val="Hyperlink"/>
    <w:basedOn w:val="DefaultParagraphFont"/>
    <w:uiPriority w:val="99"/>
    <w:unhideWhenUsed/>
    <w:rsid w:val="00191e01"/>
    <w:rPr>
      <w:color w:themeColor="hyperlink" w:val="467886"/>
      <w:u w:val="single"/>
    </w:rPr>
  </w:style>
  <w:style w:type="character" w:styleId="UnresolvedMention">
    <w:name w:val="Unresolved Mention"/>
    <w:basedOn w:val="DefaultParagraphFont"/>
    <w:uiPriority w:val="99"/>
    <w:semiHidden/>
    <w:unhideWhenUsed/>
    <w:qFormat/>
    <w:rsid w:val="00191e01"/>
    <w:rPr>
      <w:color w:val="605E5C"/>
      <w:shd w:fill="E1DFDD" w:val="clear"/>
    </w:rPr>
  </w:style>
  <w:style w:type="paragraph" w:styleId="Heading">
    <w:name w:val="Heading"/>
    <w:basedOn w:val="Normal"/>
    <w:next w:val="BodyText"/>
    <w:qFormat/>
    <w:pPr>
      <w:keepNext w:val="true"/>
      <w:spacing w:before="240" w:after="120"/>
    </w:pPr>
    <w:rPr>
      <w:rFonts w:ascii="Aptos Display" w:hAnsi="Aptos Display"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Aptos Display" w:hAnsi="Aptos Display" w:cs="FreeSans"/>
      <w:sz w:val="24"/>
    </w:rPr>
  </w:style>
  <w:style w:type="paragraph" w:styleId="Caption">
    <w:name w:val="caption"/>
    <w:basedOn w:val="Normal"/>
    <w:qFormat/>
    <w:pPr>
      <w:suppressLineNumbers/>
      <w:spacing w:before="120" w:after="120"/>
    </w:pPr>
    <w:rPr>
      <w:rFonts w:ascii="Aptos Display" w:hAnsi="Aptos Display" w:cs="FreeSans"/>
      <w:i/>
      <w:iCs/>
      <w:sz w:val="24"/>
      <w:szCs w:val="24"/>
    </w:rPr>
  </w:style>
  <w:style w:type="paragraph" w:styleId="Index">
    <w:name w:val="Index"/>
    <w:basedOn w:val="Normal"/>
    <w:qFormat/>
    <w:pPr>
      <w:suppressLineNumbers/>
    </w:pPr>
    <w:rPr>
      <w:rFonts w:ascii="Aptos Display" w:hAnsi="Aptos Display" w:cs="FreeSans"/>
      <w:sz w:val="24"/>
    </w:rPr>
  </w:style>
  <w:style w:type="paragraph" w:styleId="Title">
    <w:name w:val="Title"/>
    <w:basedOn w:val="Normal"/>
    <w:next w:val="Normal"/>
    <w:link w:val="TitleChar"/>
    <w:uiPriority w:val="10"/>
    <w:qFormat/>
    <w:rsid w:val="00eb745d"/>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eb745d"/>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eb745d"/>
    <w:pPr>
      <w:spacing w:before="160" w:after="100"/>
      <w:jc w:val="center"/>
    </w:pPr>
    <w:rPr>
      <w:i/>
      <w:iCs/>
      <w:color w:themeColor="text1" w:themeTint="bf" w:val="404040"/>
    </w:rPr>
  </w:style>
  <w:style w:type="paragraph" w:styleId="ListParagraph">
    <w:name w:val="List Paragraph"/>
    <w:basedOn w:val="Normal"/>
    <w:uiPriority w:val="34"/>
    <w:qFormat/>
    <w:rsid w:val="00eb745d"/>
    <w:pPr>
      <w:spacing w:before="0" w:after="100"/>
      <w:ind w:left="720"/>
      <w:contextualSpacing/>
    </w:pPr>
    <w:rPr/>
  </w:style>
  <w:style w:type="paragraph" w:styleId="IntenseQuote">
    <w:name w:val="Intense Quote"/>
    <w:basedOn w:val="Normal"/>
    <w:next w:val="Normal"/>
    <w:link w:val="IntenseQuoteChar"/>
    <w:uiPriority w:val="30"/>
    <w:qFormat/>
    <w:rsid w:val="00eb745d"/>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paragraph" w:styleId="NoSpacing">
    <w:name w:val="No Spacing"/>
    <w:uiPriority w:val="1"/>
    <w:qFormat/>
    <w:rsid w:val="00876402"/>
    <w:pPr>
      <w:widowControl/>
      <w:bidi w:val="0"/>
      <w:spacing w:lineRule="auto" w:line="240" w:before="0" w:after="0"/>
      <w:jc w:val="left"/>
    </w:pPr>
    <w:rPr>
      <w:rFonts w:ascii="Aptos" w:hAnsi="Aptos" w:eastAsia="Aptos" w:cs="" w:asciiTheme="minorHAnsi" w:cstheme="minorBidi" w:eastAsiaTheme="minorHAnsi" w:hAnsiTheme="minorHAnsi"/>
      <w:color w:val="auto"/>
      <w:kern w:val="2"/>
      <w:sz w:val="22"/>
      <w:szCs w:val="22"/>
      <w:lang w:val="en-IN" w:eastAsia="en-US" w:bidi="ar-SA"/>
      <w14:ligatures w14:val="standardContextual"/>
    </w:rPr>
  </w:style>
  <w:style w:type="paragraph" w:styleId="HeaderandFooter">
    <w:name w:val="Header and Footer"/>
    <w:basedOn w:val="Normal"/>
    <w:qFormat/>
    <w:pPr/>
    <w:rPr/>
  </w:style>
  <w:style w:type="paragraph" w:styleId="Header">
    <w:name w:val="header"/>
    <w:basedOn w:val="Normal"/>
    <w:link w:val="HeaderChar"/>
    <w:uiPriority w:val="99"/>
    <w:unhideWhenUsed/>
    <w:rsid w:val="00fe5537"/>
    <w:pPr>
      <w:tabs>
        <w:tab w:val="clear" w:pos="720"/>
        <w:tab w:val="center" w:pos="4513" w:leader="none"/>
        <w:tab w:val="right" w:pos="9026" w:leader="none"/>
      </w:tabs>
      <w:spacing w:lineRule="auto" w:line="240" w:before="0" w:after="0"/>
    </w:pPr>
    <w:rPr/>
  </w:style>
  <w:style w:type="paragraph" w:styleId="Footer">
    <w:name w:val="footer"/>
    <w:basedOn w:val="Normal"/>
    <w:link w:val="FooterChar"/>
    <w:uiPriority w:val="99"/>
    <w:unhideWhenUsed/>
    <w:rsid w:val="00fe5537"/>
    <w:pPr>
      <w:tabs>
        <w:tab w:val="clear" w:pos="720"/>
        <w:tab w:val="center" w:pos="4513" w:leader="none"/>
        <w:tab w:val="right" w:pos="9026" w:leader="none"/>
      </w:tabs>
      <w:spacing w:lineRule="auto" w:line="240" w:before="0" w:after="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GridTable1Light-Accent2">
    <w:name w:val="Grid Table 1 Light Accent 2"/>
    <w:basedOn w:val="TableNormal"/>
    <w:uiPriority w:val="46"/>
    <w:rsid w:val="00287295"/>
    <w:pPr>
      <w:spacing w:after="0" w:line="240" w:lineRule="auto"/>
    </w:pPr>
    <w:tblPr>
      <w:tblStyleRowBandSize w:val="1"/>
      <w:tblStyleColBandSize w:val="1"/>
      <w:tblBorders>
        <w:top w:val="single" w:color="F6C5AC" w:themeColor="accent2" w:themeTint="66" w:sz="4" w:space="0"/>
        <w:left w:val="single" w:color="F6C5AC" w:themeColor="accent2" w:themeTint="66" w:sz="4" w:space="0"/>
        <w:bottom w:val="single" w:color="F6C5AC" w:themeColor="accent2" w:themeTint="66" w:sz="4" w:space="0"/>
        <w:right w:val="single" w:color="F6C5AC" w:themeColor="accent2" w:themeTint="66" w:sz="4" w:space="0"/>
        <w:insideH w:val="single" w:color="F6C5AC" w:themeColor="accent2" w:themeTint="66" w:sz="4" w:space="0"/>
        <w:insideV w:val="single" w:color="F6C5AC" w:themeColor="accent2" w:themeTint="66" w:sz="4" w:space="0"/>
      </w:tblBorders>
    </w:tblPr>
    <w:tblStylePr w:type="firstRow">
      <w:rPr>
        <w:b/>
        <w:bCs/>
      </w:rPr>
      <w:tblPr/>
      <w:tcPr>
        <w:tcBorders>
          <w:bottom w:val="single" w:color="F1A983" w:themeColor="accent2" w:sz="12" w:space="0"/>
        </w:tcBorders>
      </w:tcPr>
    </w:tblStylePr>
    <w:tblStylePr w:type="lastRow">
      <w:rPr>
        <w:b/>
        <w:bCs/>
      </w:rPr>
      <w:tblPr/>
      <w:tcPr>
        <w:tcBorders>
          <w:top w:val="double" w:color="F1A983" w:themeColor="accent2" w:sz="2" w:space="0"/>
        </w:tcBorders>
      </w:tcPr>
    </w:tblStylePr>
    <w:tblStylePr w:type="firstCol">
      <w:rPr>
        <w:b/>
        <w:bCs/>
      </w:rPr>
      <w:tblPr/>
    </w:tblStylePr>
    <w:tblStylePr w:type="lastCol">
      <w:rPr>
        <w:b/>
        <w:bCs/>
      </w:rPr>
      <w:tblPr/>
    </w:tblStylePr>
  </w:style>
  <w:style w:type="table" w:styleId="TableGrid">
    <w:name w:val="Table Grid"/>
    <w:basedOn w:val="TableNormal"/>
    <w:uiPriority w:val="39"/>
    <w:rsid w:val="006929f7"/>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oter" Target="footer3.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43B99B-069B-4F51-9ED8-5EFE95FBD4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563</TotalTime>
  <Application>LibreOffice/25.2.3.2$Linux_X86_64 LibreOffice_project/520$Build-2</Application>
  <AppVersion>15.0000</AppVersion>
  <Pages>10</Pages>
  <Words>4155</Words>
  <Characters>25021</Characters>
  <CharactersWithSpaces>29046</CharactersWithSpaces>
  <Paragraphs>127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2026-10-07T11:56:00Z</dcterms:created>
  <dc:creator>Jay Shravan Kumar Sharma</dc:creator>
  <dc:description/>
  <cp:keywords>SynthGuard multimodal threat intelligence phishing deepfake evaluation</cp:keywords>
  <dc:language>en-IN</dc:language>
  <cp:lastModifiedBy/>
  <cp:lastPrinted>2026-10-19T11:18:00Z</cp:lastPrinted>
  <dcterms:modified xsi:type="dcterms:W3CDTF">2026-10-19T22:52:39Z</dcterms:modified>
  <cp:revision>55</cp:revision>
  <dc:subject>Air-gapped multimodal threat intelligence and deepfake defense architecture</dc:subject>
  <dc:title>SynthGuard Research Paper</dc:title>
</cp:coreProperties>
</file>

<file path=docProps/custom.xml><?xml version="1.0" encoding="utf-8"?>
<Properties xmlns="http://schemas.openxmlformats.org/officeDocument/2006/custom-properties" xmlns:vt="http://schemas.openxmlformats.org/officeDocument/2006/docPropsVTypes"/>
</file>