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lookup4 : This file does no looking up locally, but instead asks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server for the answer. Communication is by message queues.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protocol is : messages of type 1 are meant for the server.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client only reads messages whose type matches their own pid.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message queue key is what is passed as resource.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&lt;sys/ipc.h&gt;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&lt;sys/msg.h&gt;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ClientMessage snd;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ServerMessage rcv;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qid;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pid;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/* open message queue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Prepare our ClientMessage structure.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pid = getpid();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sprintf(snd.content.id,"%d",pid);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snd.type = 1L;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the message queue.  Use resource pointer value as key.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key_t key;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if((key = strtol (resource,NULL,16))==0){DIE("strtol");}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if((qid = msgget( key, IPC_CREAT | 0600)) == -1){DIE("msgget");}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Send server the word to be found ; await reply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/*sender*/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strcpy(snd.content.word,sought-&gt;word);</w:t>
        <w:tab/>
        <w:tab/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if(msgsnd(qid,&amp;snd,sizeof(ClientMessage)-sizeof(long),0) == -1){DIE("msgsnd");}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/*receive*/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if(msgrcv( qid, &amp;rcv, sizeof(ServerMessage)-sizeof(long),atol(snd.content.id), 0) == -1) {DIE("msgrcv");}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strcpy(sought-&gt;text,rcv.text);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Server returns XXXX when it cannot find request.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(strcmp(rcv.text,"XXXX") != 0)</w:t>
        <w:tab/>
        <w:t xml:space="preserve">return FOUND;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