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TSLA Implied Volatility Surface Analysis</w:t>
      </w:r>
    </w:p>
    <w:p>
      <w:pPr>
        <w:jc w:val="center"/>
      </w:pPr>
      <w:r>
        <w:t>Quantitative Research Note</w:t>
      </w:r>
    </w:p>
    <w:p/>
    <w:p>
      <w:pPr>
        <w:spacing w:before="120" w:after="80"/>
      </w:pPr>
      <w:r>
        <w:rPr>
          <w:b/>
        </w:rPr>
        <w:t>1. Objective</w:t>
      </w:r>
    </w:p>
    <w:p>
      <w:pPr>
        <w:spacing w:after="120" w:line="276" w:lineRule="auto"/>
      </w:pPr>
      <w:r>
        <w:t>This report examines deviations from the constant volatility assumption in the Black–Scholes model by constructing an implied volatility surface for Tesla (TSLA) options using 2019–2022 end-of-day data.</w:t>
      </w:r>
    </w:p>
    <w:p>
      <w:pPr>
        <w:spacing w:before="120" w:after="80"/>
      </w:pPr>
      <w:r>
        <w:rPr>
          <w:b/>
        </w:rPr>
        <w:t>2. Data and Methodology</w:t>
      </w:r>
    </w:p>
    <w:p>
      <w:pPr>
        <w:spacing w:after="120" w:line="276" w:lineRule="auto"/>
      </w:pPr>
      <w:r>
        <w:t>The dataset consists of over 2.6 million option quotes, filtered to approximately 647,000 liquid observations. A hybrid Newton–Bisection method is used to invert the Black–Scholes formula and compute over 638,000 call-side implied volatilities. The same solver is applied independently to put quotes and cross-checked against put-call parity (correlation 0.98) before either side is used in the figures below.</w:t>
      </w:r>
    </w:p>
    <w:p>
      <w:pPr>
        <w:spacing w:before="120" w:after="80"/>
      </w:pPr>
      <w:r>
        <w:rPr>
          <w:b/>
        </w:rPr>
        <w:t>3. Key Findings</w:t>
      </w:r>
    </w:p>
    <w:p>
      <w:pPr>
        <w:spacing w:after="120" w:line="276" w:lineRule="auto"/>
      </w:pPr>
      <w:r>
        <w:t>Implied volatility varies systematically across strike and maturity. Out-of-the-money puts exhibit elevated volatility relative to out-of-the-money calls at the same distance from spot, reflecting demand for downside protection; this holds in every period examined, including the most speculative, call-buying-driven episode in the sample. Short-dated options show higher implied volatility than long-dated ones, indicating near-term risk concentration.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98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_su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Implied volatility surface vs constant volatility assumption.</w:t>
      </w:r>
    </w:p>
    <w:p>
      <w:pPr>
        <w:spacing w:before="120" w:after="80"/>
      </w:pPr>
      <w:r>
        <w:rPr>
          <w:b/>
        </w:rPr>
        <w:t>4. Market Interpretation</w:t>
      </w:r>
    </w:p>
    <w:p>
      <w:pPr>
        <w:spacing w:after="120" w:line="276" w:lineRule="auto"/>
      </w:pPr>
      <w:r>
        <w:t>During December 2022, TSLA experienced a sharp decline, accompanied by steepened skew and inverted term structure. In contrast, the August 2020 rally saw the put-call skew compress to its narrowest point in the sample (roughly 3.5 volatility points, versus 8–10 on the other dates studied) as aggressive OTM call buying pushed call-side IV up toward, but never above, put-side IV.</w:t>
      </w:r>
    </w:p>
    <w:p>
      <w:pPr>
        <w:spacing w:before="120" w:after="80"/>
      </w:pPr>
      <w:r>
        <w:rPr>
          <w:b/>
        </w:rPr>
        <w:t>5. Implications</w:t>
      </w:r>
    </w:p>
    <w:p>
      <w:pPr>
        <w:spacing w:after="120" w:line="276" w:lineRule="auto"/>
      </w:pPr>
      <w:r>
        <w:t>These results demonstrate that volatility is a structured surface rather than a scalar input. Accurate modeling requires capturing cross-sectional and temporal variation in implied volatility.</w:t>
      </w:r>
    </w:p>
    <w:p>
      <w:pPr>
        <w:spacing w:before="120" w:after="80"/>
      </w:pPr>
      <w:r>
        <w:rPr>
          <w:b/>
        </w:rPr>
        <w:t>6. Conclusion</w:t>
      </w:r>
    </w:p>
    <w:p>
      <w:pPr>
        <w:spacing w:after="120" w:line="276" w:lineRule="auto"/>
      </w:pPr>
      <w:r>
        <w:t>The implied volatility surface provides a richer framework for understanding market expectations, risk asymmetry, and regime shifts compared to constant-volatility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