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75" coordsize="21600,21600" filled="f" stroked="f" o:spt="75.0"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connecttype="rect" o:extrusionok="f" gradientshapeok="t"/>
            <o:lock v:ext="edit" aspectratio="t"/>
          </v:shapetype>
        </w:pict>
      </w:r>
    </w:p>
    <w:p w:rsidR="00000000" w:rsidDel="00000000" w:rsidP="00000000" w:rsidRDefault="00000000" w:rsidRPr="00000000" w14:paraId="00000002">
      <w:pPr>
        <w:jc w:val="center"/>
        <w:rPr>
          <w:sz w:val="48"/>
          <w:szCs w:val="48"/>
        </w:rPr>
      </w:pPr>
      <w:r w:rsidDel="00000000" w:rsidR="00000000" w:rsidRPr="00000000">
        <w:rPr>
          <w:sz w:val="48"/>
          <w:szCs w:val="48"/>
          <w:rtl w:val="0"/>
        </w:rPr>
        <w:t xml:space="preserve">AES Encryption Performance Benchmarking Using Software</w:t>
      </w:r>
    </w:p>
    <w:p w:rsidR="00000000" w:rsidDel="00000000" w:rsidP="00000000" w:rsidRDefault="00000000" w:rsidRPr="00000000" w14:paraId="00000003">
      <w:pPr>
        <w:spacing w:after="120" w:before="120" w:lineRule="auto"/>
        <w:jc w:val="center"/>
        <w:rPr>
          <w:sz w:val="22"/>
          <w:szCs w:val="22"/>
        </w:rPr>
      </w:pPr>
      <w:r w:rsidDel="00000000" w:rsidR="00000000" w:rsidRPr="00000000">
        <w:rPr>
          <w:sz w:val="22"/>
          <w:szCs w:val="22"/>
          <w:rtl w:val="0"/>
        </w:rPr>
        <w:t xml:space="preserve">Andrew Chang, Adam DeVictoria, Rachel Martinez, Nicholas Williams</w:t>
      </w:r>
    </w:p>
    <w:p w:rsidR="00000000" w:rsidDel="00000000" w:rsidP="00000000" w:rsidRDefault="00000000" w:rsidRPr="00000000" w14:paraId="00000004">
      <w:pPr>
        <w:spacing w:after="60" w:lineRule="auto"/>
        <w:jc w:val="center"/>
        <w:rPr>
          <w:rFonts w:ascii="Courier" w:cs="Courier" w:eastAsia="Courier" w:hAnsi="Courier"/>
          <w:sz w:val="18"/>
          <w:szCs w:val="18"/>
        </w:rPr>
      </w:pPr>
      <w:r w:rsidDel="00000000" w:rsidR="00000000" w:rsidRPr="00000000">
        <w:rPr>
          <w:i w:val="1"/>
          <w:iCs w:val="1"/>
          <w:sz w:val="20"/>
          <w:szCs w:val="20"/>
          <w:rtl w:val="0"/>
        </w:rPr>
        <w:t xml:space="preserve">Department of Electrical and Computer Engineering, California State Polytechnic University, Pomona </w:t>
        <w:br w:type="textWrapping"/>
        <w:t xml:space="preserve">3801 W. Temple Ave., Pomona, CA 91768</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sz w:val="48"/>
          <w:szCs w:val="48"/>
        </w:rPr>
      </w:pPr>
      <w:r w:rsidDel="00000000" w:rsidR="00000000" w:rsidRPr="00000000">
        <w:rPr>
          <w:rtl w:val="0"/>
        </w:rPr>
      </w:r>
    </w:p>
    <w:p w:rsidR="00000000" w:rsidDel="00000000" w:rsidP="00000000" w:rsidRDefault="00000000" w:rsidRPr="00000000" w14:paraId="00000006">
      <w:pPr>
        <w:rPr/>
        <w:sectPr>
          <w:pgSz w:h="16838" w:w="11906" w:orient="portrait"/>
          <w:pgMar w:bottom="2438" w:top="1077" w:left="0" w:right="811" w:header="709" w:footer="709"/>
          <w:pgNumType w:start="1"/>
        </w:sectPr>
      </w:pPr>
      <w:r w:rsidDel="00000000" w:rsidR="00000000" w:rsidRPr="00000000">
        <w:rPr>
          <w:rtl w:val="0"/>
        </w:rPr>
      </w:r>
    </w:p>
    <w:p w:rsidR="00000000" w:rsidDel="00000000" w:rsidP="00000000" w:rsidRDefault="00000000" w:rsidRPr="00000000" w14:paraId="00000007">
      <w:pPr>
        <w:jc w:val="both"/>
        <w:rPr>
          <w:b w:val="1"/>
          <w:bCs w:val="1"/>
          <w:sz w:val="18"/>
          <w:szCs w:val="18"/>
        </w:rPr>
      </w:pPr>
      <w:r w:rsidDel="00000000" w:rsidR="00000000" w:rsidRPr="00000000">
        <w:rPr>
          <w:b w:val="1"/>
          <w:bCs w:val="1"/>
          <w:i w:val="1"/>
          <w:iCs w:val="1"/>
          <w:sz w:val="18"/>
          <w:szCs w:val="18"/>
          <w:rtl w:val="0"/>
        </w:rPr>
        <w:t xml:space="preserve">Abstract</w:t>
      </w:r>
      <w:r w:rsidDel="00000000" w:rsidR="00000000" w:rsidRPr="00000000">
        <w:rPr>
          <w:b w:val="1"/>
          <w:bCs w:val="1"/>
          <w:sz w:val="18"/>
          <w:szCs w:val="18"/>
          <w:rtl w:val="0"/>
        </w:rPr>
        <w:t xml:space="preserve">— This project evaluates the performance of the Advanced Encryption Standard (AES) using a software implementation written in the C programming language. The system verifies encryption correctness using known test vectors and measures performance by executing encryption repeatedly. The benchmark records total execution time for one million encryptions and calculates the average time required for a single encryption operation. Results demonstrate that encryption time increases as key size increases due to additional encryption rounds. This study highlights how benchmarking can be used to evaluate cryptographic performance and compare computational efficiency across different AES configurations.</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180" w:line="240" w:lineRule="auto"/>
        <w:ind w:left="288" w:right="0" w:hanging="288"/>
        <w:jc w:val="center"/>
        <w:rPr/>
      </w:pP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Introduction</w:t>
      </w:r>
    </w:p>
    <w:p w:rsidR="00000000" w:rsidDel="00000000" w:rsidP="00000000" w:rsidRDefault="00000000" w:rsidRPr="00000000" w14:paraId="0000000A">
      <w:pPr>
        <w:spacing w:after="240" w:before="240" w:lineRule="auto"/>
        <w:ind w:firstLine="720"/>
        <w:jc w:val="both"/>
        <w:rPr/>
      </w:pPr>
      <w:r w:rsidDel="00000000" w:rsidR="00000000" w:rsidRPr="00000000">
        <w:rPr>
          <w:rtl w:val="0"/>
        </w:rPr>
        <w:t xml:space="preserve">The Advanced Encryption Standard (AES) is a widely used symmetric encryption algorithm designed to secure digital data. It operates on fixed-size 128-bit blocks and applies a series of transformations using a secret key to convert plaintext into ciphertext. AES supports key sizes of 128, 192, and 256 bits, with larger key sizes requiring additional encryption rounds. Due to its strong security and efficiency, AES is commonly used in applications such as wireless communication, disk encryption, and web security.</w:t>
      </w:r>
    </w:p>
    <w:p w:rsidR="00000000" w:rsidDel="00000000" w:rsidP="00000000" w:rsidRDefault="00000000" w:rsidRPr="00000000" w14:paraId="0000000B">
      <w:pPr>
        <w:spacing w:after="240" w:before="240" w:lineRule="auto"/>
        <w:ind w:firstLine="720"/>
        <w:jc w:val="both"/>
        <w:rPr/>
      </w:pPr>
      <w:r w:rsidDel="00000000" w:rsidR="00000000" w:rsidRPr="00000000">
        <w:rPr>
          <w:rtl w:val="0"/>
        </w:rPr>
        <w:t xml:space="preserve">In addition to security, the performance of AES is an important consideration, particularly in systems with limited computational resources. This project evaluates the performance of a software-based AES implementation written in C and executed on a MicroBlaze system. By measuring encryption execution time across different key sizes and clock speeds, this work analyzes how algorithm complexity and hardware parameters affect overall performance and highlights the trade-offs between security strength and execution efficiency.</w:t>
      </w:r>
      <w:r w:rsidDel="00000000" w:rsidR="00000000" w:rsidRPr="00000000">
        <w:drawing>
          <wp:anchor allowOverlap="1" behindDoc="0" distB="114300" distT="114300" distL="114300" distR="114300" hidden="0" layoutInCell="1" locked="0" relativeHeight="0" simplePos="0">
            <wp:simplePos x="0" y="0"/>
            <wp:positionH relativeFrom="column">
              <wp:posOffset>1107285</wp:posOffset>
            </wp:positionH>
            <wp:positionV relativeFrom="paragraph">
              <wp:posOffset>2057400</wp:posOffset>
            </wp:positionV>
            <wp:extent cx="4423728" cy="1640881"/>
            <wp:effectExtent b="0" l="0" r="0" t="0"/>
            <wp:wrapTopAndBottom distB="114300" distT="114300"/>
            <wp:docPr id="1"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4423728" cy="1640881"/>
                    </a:xfrm>
                    <a:prstGeom prst="rect"/>
                    <a:ln/>
                  </pic:spPr>
                </pic:pic>
              </a:graphicData>
            </a:graphic>
          </wp:anchor>
        </w:drawing>
      </w:r>
    </w:p>
    <w:p w:rsidR="00000000" w:rsidDel="00000000" w:rsidP="00000000" w:rsidRDefault="00000000" w:rsidRPr="00000000" w14:paraId="0000000C">
      <w:pPr>
        <w:ind w:firstLine="216"/>
        <w:jc w:val="both"/>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pP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180" w:line="240" w:lineRule="auto"/>
        <w:ind w:left="288" w:right="0" w:hanging="288"/>
        <w:jc w:val="center"/>
        <w:rPr/>
      </w:pPr>
      <w:r w:rsidDel="00000000" w:rsidR="00000000" w:rsidRPr="00000000">
        <w:rPr>
          <w:smallCaps w:val="1"/>
          <w:sz w:val="20"/>
          <w:szCs w:val="20"/>
          <w:rtl w:val="0"/>
        </w:rPr>
        <w:t xml:space="preserve">Background</w:t>
      </w:r>
      <w:r w:rsidDel="00000000" w:rsidR="00000000" w:rsidRPr="00000000">
        <w:rPr>
          <w:rtl w:val="0"/>
        </w:rPr>
      </w:r>
    </w:p>
    <w:p w:rsidR="00000000" w:rsidDel="00000000" w:rsidP="00000000" w:rsidRDefault="00000000" w:rsidRPr="00000000" w14:paraId="0000000F">
      <w:pPr>
        <w:ind w:firstLine="216"/>
        <w:jc w:val="both"/>
        <w:rPr/>
      </w:pPr>
      <w:r w:rsidDel="00000000" w:rsidR="00000000" w:rsidRPr="00000000">
        <w:rPr>
          <w:rtl w:val="0"/>
        </w:rPr>
        <w:t xml:space="preserve">AES encrypts data in blocks of 128 bits (16 bytes) and supports multiple key sizes, including 128-bit, 192-bit, and 256-bit keys. The encryption process consists of several rounds of operations including substitution, row shifting, column mixing, and round key addition. Larger key sizes require more rounds, which increases computational workload and execution time. </w:t>
      </w:r>
    </w:p>
    <w:p w:rsidR="00000000" w:rsidDel="00000000" w:rsidP="00000000" w:rsidRDefault="00000000" w:rsidRPr="00000000" w14:paraId="00000010">
      <w:pPr>
        <w:ind w:firstLine="216"/>
        <w:jc w:val="both"/>
        <w:rPr/>
      </w:pPr>
      <w:r w:rsidDel="00000000" w:rsidR="00000000" w:rsidRPr="00000000">
        <w:rPr/>
        <w:drawing>
          <wp:inline distB="114300" distT="114300" distL="114300" distR="114300">
            <wp:extent cx="3190875" cy="3378200"/>
            <wp:effectExtent b="0" l="0" r="0" t="0"/>
            <wp:docPr id="2"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3190875" cy="3378200"/>
                    </a:xfrm>
                    <a:prstGeom prst="rect"/>
                    <a:ln/>
                  </pic:spPr>
                </pic:pic>
              </a:graphicData>
            </a:graphic>
          </wp:inline>
        </w:drawing>
      </w: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180" w:line="240" w:lineRule="auto"/>
        <w:ind w:left="288" w:right="0" w:hanging="288"/>
        <w:jc w:val="center"/>
        <w:rPr/>
      </w:pPr>
      <w:r w:rsidDel="00000000" w:rsidR="00000000" w:rsidRPr="00000000">
        <w:rPr>
          <w:smallCaps w:val="1"/>
          <w:sz w:val="20"/>
          <w:szCs w:val="20"/>
          <w:rtl w:val="0"/>
        </w:rPr>
        <w:t xml:space="preserve">System Design and Implementation</w:t>
      </w:r>
      <w:r w:rsidDel="00000000" w:rsidR="00000000" w:rsidRPr="00000000">
        <w:rPr>
          <w:rtl w:val="0"/>
        </w:rPr>
      </w:r>
    </w:p>
    <w:p w:rsidR="00000000" w:rsidDel="00000000" w:rsidP="00000000" w:rsidRDefault="00000000" w:rsidRPr="00000000" w14:paraId="00000012">
      <w:pPr>
        <w:ind w:firstLine="216"/>
        <w:jc w:val="both"/>
        <w:rPr/>
      </w:pPr>
      <w:r w:rsidDel="00000000" w:rsidR="00000000" w:rsidRPr="00000000">
        <w:rPr>
          <w:rtl w:val="0"/>
        </w:rPr>
        <w:t xml:space="preserve">The AES benchmarking system was implemented in the C programming language using a software-based AES library. The program initializes encryption parameters, verifies correctness using known test vectors, and repeatedly executes </w:t>
      </w:r>
    </w:p>
    <w:p w:rsidR="00000000" w:rsidDel="00000000" w:rsidP="00000000" w:rsidRDefault="00000000" w:rsidRPr="00000000" w14:paraId="00000013">
      <w:pPr>
        <w:ind w:firstLine="216"/>
        <w:jc w:val="both"/>
        <w:rPr>
          <w:smallCaps w:val="1"/>
          <w:sz w:val="20"/>
          <w:szCs w:val="20"/>
        </w:rPr>
      </w:pPr>
      <w:r w:rsidDel="00000000" w:rsidR="00000000" w:rsidRPr="00000000">
        <w:rPr>
          <w:rtl w:val="0"/>
        </w:rPr>
        <w:t xml:space="preserve">The system is built around a MicroBlaze RISC-V processor connected via AXI interconnects to peripherals including a UART interface and timer module. The timer is used to measure encryption execution time, while UART enables communication and result output. Clocking and reset modules ensure synchronized system operation.</w:t>
      </w:r>
      <w:r w:rsidDel="00000000" w:rsidR="00000000" w:rsidRPr="00000000">
        <w:rPr>
          <w:rtl w:val="0"/>
        </w:rPr>
      </w:r>
    </w:p>
    <w:p w:rsidR="00000000" w:rsidDel="00000000" w:rsidP="00000000" w:rsidRDefault="00000000" w:rsidRPr="00000000" w14:paraId="00000014">
      <w:pPr>
        <w:numPr>
          <w:ilvl w:val="0"/>
          <w:numId w:val="1"/>
        </w:numPr>
        <w:spacing w:after="60" w:before="180" w:lineRule="auto"/>
        <w:ind w:left="288"/>
        <w:jc w:val="center"/>
      </w:pPr>
      <w:r w:rsidDel="00000000" w:rsidR="00000000" w:rsidRPr="00000000">
        <w:rPr>
          <w:smallCaps w:val="1"/>
          <w:sz w:val="20"/>
          <w:szCs w:val="20"/>
          <w:rtl w:val="0"/>
        </w:rPr>
        <w:t xml:space="preserve">System Design and Implementation</w:t>
      </w:r>
    </w:p>
    <w:p w:rsidR="00000000" w:rsidDel="00000000" w:rsidP="00000000" w:rsidRDefault="00000000" w:rsidRPr="00000000" w14:paraId="00000015">
      <w:pPr>
        <w:spacing w:after="240" w:before="240" w:lineRule="auto"/>
        <w:ind w:firstLine="720"/>
        <w:jc w:val="both"/>
        <w:rPr/>
      </w:pPr>
      <w:r w:rsidDel="00000000" w:rsidR="00000000" w:rsidRPr="00000000">
        <w:rPr>
          <w:rtl w:val="0"/>
        </w:rPr>
        <w:t xml:space="preserve">The AES benchmarking system was developed using Xilinx Vivado and Vitis on a MicroBlaze-based platform. In Vivado, a block design was created including the MicroBlaze processor, local memory, AXI interconnects, UART for communication, and a hardware timer for performance measurement. Clocking and reset modules were also configured to ensure proper system operation. The hardware design was then exported to Vitis for software development.</w:t>
      </w:r>
    </w:p>
    <w:p w:rsidR="00000000" w:rsidDel="00000000" w:rsidP="00000000" w:rsidRDefault="00000000" w:rsidRPr="00000000" w14:paraId="00000016">
      <w:pPr>
        <w:spacing w:after="240" w:before="240" w:lineRule="auto"/>
        <w:ind w:firstLine="720"/>
        <w:jc w:val="both"/>
        <w:rPr/>
      </w:pPr>
      <w:r w:rsidDel="00000000" w:rsidR="00000000" w:rsidRPr="00000000">
        <w:rPr>
          <w:rtl w:val="0"/>
        </w:rPr>
        <w:t xml:space="preserve">In Vitis, the AES encryption algorithm was implemented in C and executed on the MicroBlaze processor. Correctness was verified using known AES test vectors by comparing the generated ciphertext with expected results. For performance evaluation, the encryption process was repeated one million times, and execution time was measured using the hardware timer. Multiple trials were conducted to ensure consistent results.</w:t>
      </w:r>
    </w:p>
    <w:p w:rsidR="00000000" w:rsidDel="00000000" w:rsidP="00000000" w:rsidRDefault="00000000" w:rsidRPr="00000000" w14:paraId="00000017">
      <w:pPr>
        <w:ind w:firstLine="216"/>
        <w:jc w:val="both"/>
        <w:rPr/>
      </w:pPr>
      <w:r w:rsidDel="00000000" w:rsidR="00000000" w:rsidRPr="00000000">
        <w:rPr>
          <w:rtl w:val="0"/>
        </w:rPr>
      </w:r>
    </w:p>
    <w:p w:rsidR="00000000" w:rsidDel="00000000" w:rsidP="00000000" w:rsidRDefault="00000000" w:rsidRPr="00000000" w14:paraId="00000018">
      <w:pPr>
        <w:numPr>
          <w:ilvl w:val="0"/>
          <w:numId w:val="1"/>
        </w:numPr>
        <w:spacing w:after="60" w:before="180" w:lineRule="auto"/>
        <w:ind w:left="288"/>
        <w:jc w:val="center"/>
      </w:pPr>
      <w:r w:rsidDel="00000000" w:rsidR="00000000" w:rsidRPr="00000000">
        <w:rPr>
          <w:smallCaps w:val="1"/>
          <w:sz w:val="20"/>
          <w:szCs w:val="20"/>
          <w:rtl w:val="0"/>
        </w:rPr>
        <w:t xml:space="preserve">Experimental Results</w:t>
      </w:r>
    </w:p>
    <w:p w:rsidR="00000000" w:rsidDel="00000000" w:rsidP="00000000" w:rsidRDefault="00000000" w:rsidRPr="00000000" w14:paraId="00000019">
      <w:pPr>
        <w:ind w:firstLine="216"/>
        <w:jc w:val="both"/>
        <w:rPr/>
      </w:pPr>
      <w:r w:rsidDel="00000000" w:rsidR="00000000" w:rsidRPr="00000000">
        <w:rPr>
          <w:rtl w:val="0"/>
        </w:rPr>
        <w:t xml:space="preserve">Each experiment consisted of one million encryption operations. The total execution time was measured for each AES key size configuration. Results showed below in table</w:t>
      </w:r>
    </w:p>
    <w:p w:rsidR="00000000" w:rsidDel="00000000" w:rsidP="00000000" w:rsidRDefault="00000000" w:rsidRPr="00000000" w14:paraId="0000001A">
      <w:pPr>
        <w:ind w:firstLine="216"/>
        <w:jc w:val="both"/>
        <w:rPr/>
      </w:pPr>
      <w:r w:rsidDel="00000000" w:rsidR="00000000" w:rsidRPr="00000000">
        <w:rPr>
          <w:rtl w:val="0"/>
        </w:rPr>
      </w:r>
    </w:p>
    <w:sdt>
      <w:sdtPr>
        <w:lock w:val="contentLocked"/>
        <w:id w:val="1116807252"/>
        <w:tag w:val="goog_rdk_0"/>
      </w:sdtPr>
      <w:sdtContent>
        <w:tbl>
          <w:tblPr>
            <w:tblStyle w:val="Table1"/>
            <w:tblW w:w="5023.000000000001"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74.3333333333337"/>
            <w:gridCol w:w="1674.3333333333337"/>
            <w:gridCol w:w="1674.3333333333337"/>
            <w:tblGridChange w:id="0">
              <w:tblGrid>
                <w:gridCol w:w="1674.3333333333337"/>
                <w:gridCol w:w="1674.3333333333337"/>
                <w:gridCol w:w="1674.3333333333337"/>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B">
                <w:pPr>
                  <w:widowControl w:val="0"/>
                  <w:rPr>
                    <w:sz w:val="20"/>
                    <w:szCs w:val="20"/>
                  </w:rPr>
                </w:pPr>
                <w:r w:rsidDel="00000000" w:rsidR="00000000" w:rsidRPr="00000000">
                  <w:rPr>
                    <w:sz w:val="20"/>
                    <w:szCs w:val="20"/>
                    <w:rtl w:val="0"/>
                  </w:rPr>
                  <w:t xml:space="preserve">AES Configuration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widowControl w:val="0"/>
                  <w:rPr/>
                </w:pPr>
                <w:r w:rsidDel="00000000" w:rsidR="00000000" w:rsidRPr="00000000">
                  <w:rPr>
                    <w:rtl w:val="0"/>
                  </w:rPr>
                  <w:t xml:space="preserve">Total Time (s)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widowControl w:val="0"/>
                  <w:rPr/>
                </w:pPr>
                <w:r w:rsidDel="00000000" w:rsidR="00000000" w:rsidRPr="00000000">
                  <w:rPr>
                    <w:rtl w:val="0"/>
                  </w:rPr>
                  <w:t xml:space="preserve">Avg Time (µs)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E">
                <w:pPr>
                  <w:widowControl w:val="0"/>
                  <w:rPr/>
                </w:pPr>
                <w:r w:rsidDel="00000000" w:rsidR="00000000" w:rsidRPr="00000000">
                  <w:rPr>
                    <w:rtl w:val="0"/>
                  </w:rPr>
                  <w:t xml:space="preserve">AES-128</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widowControl w:val="0"/>
                  <w:rPr/>
                </w:pPr>
                <w:r w:rsidDel="00000000" w:rsidR="00000000" w:rsidRPr="00000000">
                  <w:rPr>
                    <w:rtl w:val="0"/>
                  </w:rPr>
                  <w:t xml:space="preserve">392.375</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widowControl w:val="0"/>
                  <w:rPr/>
                </w:pPr>
                <w:r w:rsidDel="00000000" w:rsidR="00000000" w:rsidRPr="00000000">
                  <w:rPr>
                    <w:rtl w:val="0"/>
                  </w:rPr>
                  <w:t xml:space="preserve">392.375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1">
                <w:pPr>
                  <w:widowControl w:val="0"/>
                  <w:rPr/>
                </w:pPr>
                <w:r w:rsidDel="00000000" w:rsidR="00000000" w:rsidRPr="00000000">
                  <w:rPr>
                    <w:rtl w:val="0"/>
                  </w:rPr>
                  <w:t xml:space="preserve">AES-192</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widowControl w:val="0"/>
                  <w:rPr/>
                </w:pPr>
                <w:r w:rsidDel="00000000" w:rsidR="00000000" w:rsidRPr="00000000">
                  <w:rPr>
                    <w:rtl w:val="0"/>
                  </w:rPr>
                  <w:t xml:space="preserve">499.125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widowControl w:val="0"/>
                  <w:rPr/>
                </w:pPr>
                <w:r w:rsidDel="00000000" w:rsidR="00000000" w:rsidRPr="00000000">
                  <w:rPr>
                    <w:rtl w:val="0"/>
                  </w:rPr>
                  <w:t xml:space="preserve">499.125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4">
                <w:pPr>
                  <w:widowControl w:val="0"/>
                  <w:rPr/>
                </w:pPr>
                <w:r w:rsidDel="00000000" w:rsidR="00000000" w:rsidRPr="00000000">
                  <w:rPr>
                    <w:rtl w:val="0"/>
                  </w:rPr>
                  <w:t xml:space="preserve">AES-256</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widowControl w:val="0"/>
                  <w:rPr/>
                </w:pPr>
                <w:r w:rsidDel="00000000" w:rsidR="00000000" w:rsidRPr="00000000">
                  <w:rPr>
                    <w:rtl w:val="0"/>
                  </w:rPr>
                  <w:t xml:space="preserve">548.1325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widowControl w:val="0"/>
                  <w:rPr/>
                </w:pPr>
                <w:r w:rsidDel="00000000" w:rsidR="00000000" w:rsidRPr="00000000">
                  <w:rPr>
                    <w:rtl w:val="0"/>
                  </w:rPr>
                  <w:t xml:space="preserve">548.1325</w:t>
                </w:r>
              </w:p>
            </w:tc>
          </w:tr>
        </w:tbl>
      </w:sdtContent>
    </w:sdt>
    <w:p w:rsidR="00000000" w:rsidDel="00000000" w:rsidP="00000000" w:rsidRDefault="00000000" w:rsidRPr="00000000" w14:paraId="00000027">
      <w:pPr>
        <w:ind w:firstLine="216"/>
        <w:jc w:val="both"/>
        <w:rPr/>
      </w:pPr>
      <w:r w:rsidDel="00000000" w:rsidR="00000000" w:rsidRPr="00000000">
        <w:rPr/>
        <w:drawing>
          <wp:inline distB="114300" distT="114300" distL="114300" distR="114300">
            <wp:extent cx="3190875" cy="2514600"/>
            <wp:effectExtent b="0" l="0" r="0" t="0"/>
            <wp:docPr id="3"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3190875" cy="2514600"/>
                    </a:xfrm>
                    <a:prstGeom prst="rect"/>
                    <a:ln/>
                  </pic:spPr>
                </pic:pic>
              </a:graphicData>
            </a:graphic>
          </wp:inline>
        </w:drawing>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smallCaps w:val="1"/>
          <w:sz w:val="16"/>
          <w:szCs w:val="16"/>
        </w:rPr>
      </w:pPr>
      <w:r w:rsidDel="00000000" w:rsidR="00000000" w:rsidRPr="00000000">
        <w:rPr>
          <w:rtl w:val="0"/>
        </w:rPr>
      </w:r>
    </w:p>
    <w:p w:rsidR="00000000" w:rsidDel="00000000" w:rsidP="00000000" w:rsidRDefault="00000000" w:rsidRPr="00000000" w14:paraId="00000029">
      <w:pPr>
        <w:numPr>
          <w:ilvl w:val="0"/>
          <w:numId w:val="1"/>
        </w:numPr>
        <w:spacing w:after="60" w:before="180" w:lineRule="auto"/>
        <w:ind w:left="288"/>
        <w:jc w:val="center"/>
      </w:pPr>
      <w:r w:rsidDel="00000000" w:rsidR="00000000" w:rsidRPr="00000000">
        <w:rPr>
          <w:smallCaps w:val="1"/>
          <w:sz w:val="20"/>
          <w:szCs w:val="20"/>
          <w:rtl w:val="0"/>
        </w:rPr>
        <w:t xml:space="preserve">Performance Across Clock Speeds</w:t>
      </w:r>
    </w:p>
    <w:p w:rsidR="00000000" w:rsidDel="00000000" w:rsidP="00000000" w:rsidRDefault="00000000" w:rsidRPr="00000000" w14:paraId="0000002A">
      <w:pPr>
        <w:ind w:firstLine="216"/>
        <w:jc w:val="both"/>
        <w:rPr/>
      </w:pPr>
      <w:r w:rsidDel="00000000" w:rsidR="00000000" w:rsidRPr="00000000">
        <w:rPr>
          <w:rtl w:val="0"/>
        </w:rPr>
        <w:t xml:space="preserve">The results below  show that execution time decreases as clock speed increases, demonstrating an inverse relationship between processor frequency and encryption latency. Doubling the clock speed from 50 MHz to 100 MHz approximately halves execution time, which aligns with expected computational scaling.</w:t>
      </w:r>
    </w:p>
    <w:p w:rsidR="00000000" w:rsidDel="00000000" w:rsidP="00000000" w:rsidRDefault="00000000" w:rsidRPr="00000000" w14:paraId="0000002B">
      <w:pPr>
        <w:ind w:firstLine="216"/>
        <w:jc w:val="both"/>
        <w:rPr/>
      </w:pPr>
      <w:r w:rsidDel="00000000" w:rsidR="00000000" w:rsidRPr="00000000">
        <w:rPr>
          <w:rtl w:val="0"/>
        </w:rPr>
      </w:r>
    </w:p>
    <w:sdt>
      <w:sdtPr>
        <w:lock w:val="contentLocked"/>
        <w:id w:val="-756201504"/>
        <w:tag w:val="goog_rdk_1"/>
      </w:sdtPr>
      <w:sdtContent>
        <w:tbl>
          <w:tblPr>
            <w:tblStyle w:val="Table2"/>
            <w:tblW w:w="4735.000000000001" w:type="dxa"/>
            <w:jc w:val="left"/>
            <w:tblInd w:w="288.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83.7500000000002"/>
            <w:gridCol w:w="1183.7500000000002"/>
            <w:gridCol w:w="1183.7500000000002"/>
            <w:gridCol w:w="1183.7500000000002"/>
            <w:tblGridChange w:id="0">
              <w:tblGrid>
                <w:gridCol w:w="1183.7500000000002"/>
                <w:gridCol w:w="1183.7500000000002"/>
                <w:gridCol w:w="1183.7500000000002"/>
                <w:gridCol w:w="1183.7500000000002"/>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C">
                <w:pPr>
                  <w:widowControl w:val="0"/>
                  <w:jc w:val="center"/>
                  <w:rPr/>
                </w:pPr>
                <w:r w:rsidDel="00000000" w:rsidR="00000000" w:rsidRPr="00000000">
                  <w:rPr>
                    <w:b w:val="1"/>
                    <w:bCs w:val="1"/>
                    <w:rtl w:val="0"/>
                  </w:rPr>
                  <w:t xml:space="preserve">Clock Speed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D">
                <w:pPr>
                  <w:widowControl w:val="0"/>
                  <w:jc w:val="center"/>
                  <w:rPr/>
                </w:pPr>
                <w:r w:rsidDel="00000000" w:rsidR="00000000" w:rsidRPr="00000000">
                  <w:rPr>
                    <w:b w:val="1"/>
                    <w:bCs w:val="1"/>
                    <w:rtl w:val="0"/>
                  </w:rPr>
                  <w:t xml:space="preserve">AES-128 (s)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E">
                <w:pPr>
                  <w:widowControl w:val="0"/>
                  <w:jc w:val="center"/>
                  <w:rPr/>
                </w:pPr>
                <w:r w:rsidDel="00000000" w:rsidR="00000000" w:rsidRPr="00000000">
                  <w:rPr>
                    <w:b w:val="1"/>
                    <w:bCs w:val="1"/>
                    <w:rtl w:val="0"/>
                  </w:rPr>
                  <w:t xml:space="preserve">AES-192 (s)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F">
                <w:pPr>
                  <w:widowControl w:val="0"/>
                  <w:jc w:val="center"/>
                  <w:rPr/>
                </w:pPr>
                <w:r w:rsidDel="00000000" w:rsidR="00000000" w:rsidRPr="00000000">
                  <w:rPr>
                    <w:b w:val="1"/>
                    <w:bCs w:val="1"/>
                    <w:rtl w:val="0"/>
                  </w:rPr>
                  <w:t xml:space="preserve">AES-256 (s)</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0">
                <w:pPr>
                  <w:widowControl w:val="0"/>
                  <w:rPr/>
                </w:pPr>
                <w:r w:rsidDel="00000000" w:rsidR="00000000" w:rsidRPr="00000000">
                  <w:rPr>
                    <w:rtl w:val="0"/>
                  </w:rPr>
                  <w:t xml:space="preserve">50 MHz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1">
                <w:pPr>
                  <w:widowControl w:val="0"/>
                  <w:rPr/>
                </w:pPr>
                <w:r w:rsidDel="00000000" w:rsidR="00000000" w:rsidRPr="00000000">
                  <w:rPr>
                    <w:rtl w:val="0"/>
                  </w:rPr>
                  <w:t xml:space="preserve">784.46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2">
                <w:pPr>
                  <w:widowControl w:val="0"/>
                  <w:rPr/>
                </w:pPr>
                <w:r w:rsidDel="00000000" w:rsidR="00000000" w:rsidRPr="00000000">
                  <w:rPr>
                    <w:rtl w:val="0"/>
                  </w:rPr>
                  <w:t xml:space="preserve">997.92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3">
                <w:pPr>
                  <w:widowControl w:val="0"/>
                  <w:rPr/>
                </w:pPr>
                <w:r w:rsidDel="00000000" w:rsidR="00000000" w:rsidRPr="00000000">
                  <w:rPr>
                    <w:rtl w:val="0"/>
                  </w:rPr>
                  <w:t xml:space="preserve">1096.42</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4">
                <w:pPr>
                  <w:widowControl w:val="0"/>
                  <w:rPr/>
                </w:pPr>
                <w:r w:rsidDel="00000000" w:rsidR="00000000" w:rsidRPr="00000000">
                  <w:rPr>
                    <w:rtl w:val="0"/>
                  </w:rPr>
                  <w:t xml:space="preserve">100 MHz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5">
                <w:pPr>
                  <w:widowControl w:val="0"/>
                  <w:rPr/>
                </w:pPr>
                <w:r w:rsidDel="00000000" w:rsidR="00000000" w:rsidRPr="00000000">
                  <w:rPr>
                    <w:rtl w:val="0"/>
                  </w:rPr>
                  <w:t xml:space="preserve">392.38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6">
                <w:pPr>
                  <w:widowControl w:val="0"/>
                  <w:rPr/>
                </w:pPr>
                <w:r w:rsidDel="00000000" w:rsidR="00000000" w:rsidRPr="00000000">
                  <w:rPr>
                    <w:rtl w:val="0"/>
                  </w:rPr>
                  <w:t xml:space="preserve">499.13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7">
                <w:pPr>
                  <w:widowControl w:val="0"/>
                  <w:rPr/>
                </w:pPr>
                <w:r w:rsidDel="00000000" w:rsidR="00000000" w:rsidRPr="00000000">
                  <w:rPr>
                    <w:rtl w:val="0"/>
                  </w:rPr>
                  <w:t xml:space="preserve">548.13</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8">
                <w:pPr>
                  <w:widowControl w:val="0"/>
                  <w:rPr/>
                </w:pPr>
                <w:r w:rsidDel="00000000" w:rsidR="00000000" w:rsidRPr="00000000">
                  <w:rPr>
                    <w:rtl w:val="0"/>
                  </w:rPr>
                  <w:t xml:space="preserve">145 MHz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9">
                <w:pPr>
                  <w:widowControl w:val="0"/>
                  <w:rPr/>
                </w:pPr>
                <w:r w:rsidDel="00000000" w:rsidR="00000000" w:rsidRPr="00000000">
                  <w:rPr>
                    <w:rtl w:val="0"/>
                  </w:rPr>
                  <w:t xml:space="preserve">270.32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A">
                <w:pPr>
                  <w:widowControl w:val="0"/>
                  <w:rPr/>
                </w:pPr>
                <w:r w:rsidDel="00000000" w:rsidR="00000000" w:rsidRPr="00000000">
                  <w:rPr>
                    <w:rtl w:val="0"/>
                  </w:rPr>
                  <w:t xml:space="preserve">344.06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B">
                <w:pPr>
                  <w:widowControl w:val="0"/>
                  <w:rPr/>
                </w:pPr>
                <w:r w:rsidDel="00000000" w:rsidR="00000000" w:rsidRPr="00000000">
                  <w:rPr>
                    <w:rtl w:val="0"/>
                  </w:rPr>
                  <w:t xml:space="preserve">274.40</w:t>
                </w:r>
              </w:p>
            </w:tc>
          </w:tr>
        </w:tbl>
      </w:sdtContent>
    </w:sdt>
    <w:p w:rsidR="00000000" w:rsidDel="00000000" w:rsidP="00000000" w:rsidRDefault="00000000" w:rsidRPr="00000000" w14:paraId="0000003C">
      <w:pPr>
        <w:ind w:firstLine="216"/>
        <w:jc w:val="both"/>
        <w:rPr/>
      </w:pPr>
      <w:r w:rsidDel="00000000" w:rsidR="00000000" w:rsidRPr="00000000">
        <w:rPr>
          <w:rtl w:val="0"/>
        </w:rPr>
      </w:r>
    </w:p>
    <w:p w:rsidR="00000000" w:rsidDel="00000000" w:rsidP="00000000" w:rsidRDefault="00000000" w:rsidRPr="00000000" w14:paraId="0000003D">
      <w:pPr>
        <w:ind w:firstLine="216"/>
        <w:jc w:val="both"/>
        <w:rPr>
          <w:smallCaps w:val="1"/>
          <w:sz w:val="20"/>
          <w:szCs w:val="20"/>
        </w:rPr>
      </w:pPr>
      <w:r w:rsidDel="00000000" w:rsidR="00000000" w:rsidRPr="00000000">
        <w:rPr>
          <w:rtl w:val="0"/>
        </w:rPr>
        <w:t xml:space="preserve">However, minor deviations from perfect scaling are observed, likely due to system overhead and measurement limitations. Additionally, AES-256 consistently requires more time than AES-128 due to the increased number of encryption rounds.</w:t>
      </w: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pP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pP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pPr>
      <w:r w:rsidDel="00000000" w:rsidR="00000000" w:rsidRPr="00000000">
        <w:rPr>
          <w:rtl w:val="0"/>
        </w:rPr>
      </w:r>
    </w:p>
    <w:p w:rsidR="00000000" w:rsidDel="00000000" w:rsidP="00000000" w:rsidRDefault="00000000" w:rsidRPr="00000000" w14:paraId="00000042">
      <w:pPr>
        <w:numPr>
          <w:ilvl w:val="0"/>
          <w:numId w:val="1"/>
        </w:numPr>
        <w:spacing w:after="60" w:before="180" w:lineRule="auto"/>
        <w:ind w:left="288"/>
        <w:jc w:val="center"/>
      </w:pPr>
      <w:r w:rsidDel="00000000" w:rsidR="00000000" w:rsidRPr="00000000">
        <w:rPr>
          <w:smallCaps w:val="1"/>
          <w:sz w:val="20"/>
          <w:szCs w:val="20"/>
          <w:rtl w:val="0"/>
        </w:rPr>
        <w:t xml:space="preserve">Conclusion</w:t>
      </w:r>
    </w:p>
    <w:p w:rsidR="00000000" w:rsidDel="00000000" w:rsidP="00000000" w:rsidRDefault="00000000" w:rsidRPr="00000000" w14:paraId="00000043">
      <w:pPr>
        <w:ind w:firstLine="216"/>
        <w:jc w:val="both"/>
        <w:rPr>
          <w:smallCaps w:val="1"/>
          <w:sz w:val="20"/>
          <w:szCs w:val="20"/>
        </w:rPr>
      </w:pPr>
      <w:r w:rsidDel="00000000" w:rsidR="00000000" w:rsidRPr="00000000">
        <w:rPr>
          <w:rtl w:val="0"/>
        </w:rPr>
        <w:t xml:space="preserve">This project successfully implemented AES encryption using a software-based approach and verified correctness using known test vectors. Performance benchmarking demonstrated that encryption time increases with key size due to the additional processing rounds required. Benchmarking provides valuable insight into the computational cost of encryption algorithms and helps evaluate performance trade-offs between security strength and execution speed. </w:t>
      </w:r>
      <w:r w:rsidDel="00000000" w:rsidR="00000000" w:rsidRPr="00000000">
        <w:rPr>
          <w:rtl w:val="0"/>
        </w:rPr>
      </w:r>
    </w:p>
    <w:p w:rsidR="00000000" w:rsidDel="00000000" w:rsidP="00000000" w:rsidRDefault="00000000" w:rsidRPr="00000000" w14:paraId="00000044">
      <w:pPr>
        <w:spacing w:after="60" w:before="180" w:lineRule="auto"/>
        <w:ind w:left="288" w:firstLine="0"/>
        <w:jc w:val="center"/>
        <w:rPr>
          <w:smallCaps w:val="1"/>
          <w:sz w:val="20"/>
          <w:szCs w:val="20"/>
        </w:rPr>
      </w:pPr>
      <w:r w:rsidDel="00000000" w:rsidR="00000000" w:rsidRPr="00000000">
        <w:rPr>
          <w:rtl w:val="0"/>
        </w:rPr>
      </w:r>
    </w:p>
    <w:p w:rsidR="00000000" w:rsidDel="00000000" w:rsidP="00000000" w:rsidRDefault="00000000" w:rsidRPr="00000000" w14:paraId="00000045">
      <w:pPr>
        <w:spacing w:after="60" w:before="180" w:lineRule="auto"/>
        <w:ind w:left="288" w:firstLine="0"/>
        <w:jc w:val="center"/>
        <w:rPr>
          <w:smallCaps w:val="1"/>
          <w:sz w:val="20"/>
          <w:szCs w:val="20"/>
        </w:rPr>
      </w:pPr>
      <w:r w:rsidDel="00000000" w:rsidR="00000000" w:rsidRPr="00000000">
        <w:rPr>
          <w:rtl w:val="0"/>
        </w:rPr>
      </w:r>
    </w:p>
    <w:p w:rsidR="00000000" w:rsidDel="00000000" w:rsidP="00000000" w:rsidRDefault="00000000" w:rsidRPr="00000000" w14:paraId="00000046">
      <w:pPr>
        <w:spacing w:after="60" w:before="180" w:lineRule="auto"/>
        <w:ind w:left="288" w:firstLine="0"/>
        <w:jc w:val="center"/>
        <w:rPr>
          <w:smallCaps w:val="1"/>
          <w:sz w:val="20"/>
          <w:szCs w:val="20"/>
        </w:rPr>
      </w:pPr>
      <w:r w:rsidDel="00000000" w:rsidR="00000000" w:rsidRPr="00000000">
        <w:rPr>
          <w:rtl w:val="0"/>
        </w:rPr>
      </w:r>
    </w:p>
    <w:p w:rsidR="00000000" w:rsidDel="00000000" w:rsidP="00000000" w:rsidRDefault="00000000" w:rsidRPr="00000000" w14:paraId="00000047">
      <w:pPr>
        <w:spacing w:after="60" w:before="180" w:lineRule="auto"/>
        <w:ind w:left="288" w:firstLine="0"/>
        <w:jc w:val="center"/>
        <w:rPr>
          <w:smallCaps w:val="1"/>
          <w:sz w:val="20"/>
          <w:szCs w:val="20"/>
        </w:rPr>
      </w:pPr>
      <w:r w:rsidDel="00000000" w:rsidR="00000000" w:rsidRPr="00000000">
        <w:rPr>
          <w:rtl w:val="0"/>
        </w:rPr>
      </w:r>
    </w:p>
    <w:p w:rsidR="00000000" w:rsidDel="00000000" w:rsidP="00000000" w:rsidRDefault="00000000" w:rsidRPr="00000000" w14:paraId="00000048">
      <w:pPr>
        <w:spacing w:after="60" w:before="180" w:lineRule="auto"/>
        <w:ind w:left="288" w:firstLine="0"/>
        <w:jc w:val="center"/>
        <w:rPr>
          <w:smallCaps w:val="1"/>
          <w:sz w:val="20"/>
          <w:szCs w:val="20"/>
        </w:rPr>
      </w:pPr>
      <w:r w:rsidDel="00000000" w:rsidR="00000000" w:rsidRPr="00000000">
        <w:rPr>
          <w:rtl w:val="0"/>
        </w:rPr>
      </w:r>
    </w:p>
    <w:p w:rsidR="00000000" w:rsidDel="00000000" w:rsidP="00000000" w:rsidRDefault="00000000" w:rsidRPr="00000000" w14:paraId="00000049">
      <w:pPr>
        <w:spacing w:after="60" w:before="180" w:lineRule="auto"/>
        <w:ind w:left="288" w:firstLine="0"/>
        <w:jc w:val="center"/>
        <w:rPr>
          <w:smallCaps w:val="1"/>
          <w:sz w:val="20"/>
          <w:szCs w:val="20"/>
        </w:rPr>
      </w:pPr>
      <w:r w:rsidDel="00000000" w:rsidR="00000000" w:rsidRPr="00000000">
        <w:rPr>
          <w:rtl w:val="0"/>
        </w:rPr>
      </w:r>
    </w:p>
    <w:p w:rsidR="00000000" w:rsidDel="00000000" w:rsidP="00000000" w:rsidRDefault="00000000" w:rsidRPr="00000000" w14:paraId="0000004A">
      <w:pPr>
        <w:spacing w:after="60" w:before="180" w:lineRule="auto"/>
        <w:ind w:left="288" w:firstLine="0"/>
        <w:jc w:val="center"/>
        <w:rPr>
          <w:smallCaps w:val="1"/>
          <w:sz w:val="20"/>
          <w:szCs w:val="20"/>
        </w:rPr>
      </w:pPr>
      <w:r w:rsidDel="00000000" w:rsidR="00000000" w:rsidRPr="00000000">
        <w:rPr>
          <w:rtl w:val="0"/>
        </w:rPr>
      </w:r>
    </w:p>
    <w:p w:rsidR="00000000" w:rsidDel="00000000" w:rsidP="00000000" w:rsidRDefault="00000000" w:rsidRPr="00000000" w14:paraId="0000004B">
      <w:pPr>
        <w:spacing w:after="60" w:before="180" w:lineRule="auto"/>
        <w:ind w:left="288" w:firstLine="0"/>
        <w:jc w:val="center"/>
        <w:rPr>
          <w:smallCaps w:val="1"/>
          <w:sz w:val="20"/>
          <w:szCs w:val="20"/>
        </w:rPr>
      </w:pPr>
      <w:r w:rsidDel="00000000" w:rsidR="00000000" w:rsidRPr="00000000">
        <w:rPr>
          <w:rtl w:val="0"/>
        </w:rPr>
      </w:r>
    </w:p>
    <w:p w:rsidR="00000000" w:rsidDel="00000000" w:rsidP="00000000" w:rsidRDefault="00000000" w:rsidRPr="00000000" w14:paraId="0000004C">
      <w:pPr>
        <w:spacing w:after="60" w:before="180" w:lineRule="auto"/>
        <w:ind w:left="288" w:firstLine="0"/>
        <w:jc w:val="left"/>
        <w:rPr>
          <w:smallCaps w:val="1"/>
          <w:sz w:val="20"/>
          <w:szCs w:val="20"/>
        </w:rPr>
      </w:pPr>
      <w:r w:rsidDel="00000000" w:rsidR="00000000" w:rsidRPr="00000000">
        <w:rPr>
          <w:rtl w:val="0"/>
        </w:rPr>
      </w:r>
    </w:p>
    <w:p w:rsidR="00000000" w:rsidDel="00000000" w:rsidP="00000000" w:rsidRDefault="00000000" w:rsidRPr="00000000" w14:paraId="0000004D">
      <w:pPr>
        <w:numPr>
          <w:ilvl w:val="0"/>
          <w:numId w:val="1"/>
        </w:numPr>
        <w:spacing w:after="60" w:before="180" w:lineRule="auto"/>
        <w:ind w:left="288"/>
        <w:jc w:val="center"/>
        <w:rPr>
          <w:smallCaps w:val="1"/>
          <w:sz w:val="20"/>
          <w:szCs w:val="20"/>
          <w:u w:val="none"/>
        </w:rPr>
      </w:pPr>
      <w:r w:rsidDel="00000000" w:rsidR="00000000" w:rsidRPr="00000000">
        <w:rPr>
          <w:smallCaps w:val="1"/>
          <w:sz w:val="20"/>
          <w:szCs w:val="20"/>
          <w:rtl w:val="0"/>
        </w:rPr>
        <w:t xml:space="preserve">References</w:t>
      </w:r>
    </w:p>
    <w:p w:rsidR="00000000" w:rsidDel="00000000" w:rsidP="00000000" w:rsidRDefault="00000000" w:rsidRPr="00000000" w14:paraId="0000004E">
      <w:pPr>
        <w:spacing w:after="240" w:before="240" w:lineRule="auto"/>
        <w:rPr>
          <w:smallCaps w:val="1"/>
          <w:color w:val="1155cc"/>
          <w:sz w:val="20"/>
          <w:szCs w:val="20"/>
          <w:u w:val="single"/>
        </w:rPr>
      </w:pPr>
      <w:r w:rsidDel="00000000" w:rsidR="00000000" w:rsidRPr="00000000">
        <w:rPr>
          <w:smallCaps w:val="1"/>
          <w:sz w:val="20"/>
          <w:szCs w:val="20"/>
          <w:rtl w:val="0"/>
        </w:rPr>
        <w:t xml:space="preserve">[1] TechTarget, “AES design diagram,” </w:t>
      </w:r>
      <w:r w:rsidDel="00000000" w:rsidR="00000000" w:rsidRPr="00000000">
        <w:rPr>
          <w:i w:val="1"/>
          <w:iCs w:val="1"/>
          <w:smallCaps w:val="1"/>
          <w:sz w:val="20"/>
          <w:szCs w:val="20"/>
          <w:rtl w:val="0"/>
        </w:rPr>
        <w:t xml:space="preserve">TechTarget</w:t>
      </w:r>
      <w:r w:rsidDel="00000000" w:rsidR="00000000" w:rsidRPr="00000000">
        <w:rPr>
          <w:smallCaps w:val="1"/>
          <w:sz w:val="20"/>
          <w:szCs w:val="20"/>
          <w:rtl w:val="0"/>
        </w:rPr>
        <w:t xml:space="preserve">. [Online]. Available:</w:t>
      </w:r>
      <w:hyperlink r:id="rId10">
        <w:r w:rsidDel="00000000" w:rsidR="00000000" w:rsidRPr="00000000">
          <w:rPr>
            <w:smallCaps w:val="1"/>
            <w:sz w:val="20"/>
            <w:szCs w:val="20"/>
            <w:rtl w:val="0"/>
          </w:rPr>
          <w:t xml:space="preserve"> </w:t>
        </w:r>
      </w:hyperlink>
      <w:hyperlink r:id="rId11">
        <w:r w:rsidDel="00000000" w:rsidR="00000000" w:rsidRPr="00000000">
          <w:rPr>
            <w:smallCaps w:val="1"/>
            <w:color w:val="1155cc"/>
            <w:sz w:val="20"/>
            <w:szCs w:val="20"/>
            <w:u w:val="single"/>
            <w:rtl w:val="0"/>
          </w:rPr>
          <w:t xml:space="preserve">https://www.techtarget.com/rms/onlineImages/security-aes_design.jpg</w:t>
        </w:r>
      </w:hyperlink>
      <w:r w:rsidDel="00000000" w:rsidR="00000000" w:rsidRPr="00000000">
        <w:rPr>
          <w:rtl w:val="0"/>
        </w:rPr>
      </w:r>
    </w:p>
    <w:p w:rsidR="00000000" w:rsidDel="00000000" w:rsidP="00000000" w:rsidRDefault="00000000" w:rsidRPr="00000000" w14:paraId="0000004F">
      <w:pPr>
        <w:spacing w:after="240" w:before="240" w:lineRule="auto"/>
        <w:rPr>
          <w:smallCaps w:val="1"/>
          <w:color w:val="1155cc"/>
          <w:sz w:val="20"/>
          <w:szCs w:val="20"/>
          <w:u w:val="single"/>
        </w:rPr>
      </w:pPr>
      <w:r w:rsidDel="00000000" w:rsidR="00000000" w:rsidRPr="00000000">
        <w:rPr>
          <w:smallCaps w:val="1"/>
          <w:sz w:val="20"/>
          <w:szCs w:val="20"/>
          <w:rtl w:val="0"/>
        </w:rPr>
        <w:t xml:space="preserve">[2] A. Taylor, “MicroZed Chronicles: MicroBlaze v MCS,” </w:t>
      </w:r>
      <w:r w:rsidDel="00000000" w:rsidR="00000000" w:rsidRPr="00000000">
        <w:rPr>
          <w:i w:val="1"/>
          <w:iCs w:val="1"/>
          <w:smallCaps w:val="1"/>
          <w:sz w:val="20"/>
          <w:szCs w:val="20"/>
          <w:rtl w:val="0"/>
        </w:rPr>
        <w:t xml:space="preserve">Adiuvo Engineering</w:t>
      </w:r>
      <w:r w:rsidDel="00000000" w:rsidR="00000000" w:rsidRPr="00000000">
        <w:rPr>
          <w:smallCaps w:val="1"/>
          <w:sz w:val="20"/>
          <w:szCs w:val="20"/>
          <w:rtl w:val="0"/>
        </w:rPr>
        <w:t xml:space="preserve">, Jun. 12, 2024. [Online]. Available:</w:t>
      </w:r>
      <w:hyperlink r:id="rId12">
        <w:r w:rsidDel="00000000" w:rsidR="00000000" w:rsidRPr="00000000">
          <w:rPr>
            <w:smallCaps w:val="1"/>
            <w:sz w:val="20"/>
            <w:szCs w:val="20"/>
            <w:rtl w:val="0"/>
          </w:rPr>
          <w:t xml:space="preserve"> </w:t>
        </w:r>
      </w:hyperlink>
      <w:hyperlink r:id="rId13">
        <w:r w:rsidDel="00000000" w:rsidR="00000000" w:rsidRPr="00000000">
          <w:rPr>
            <w:smallCaps w:val="1"/>
            <w:color w:val="1155cc"/>
            <w:sz w:val="20"/>
            <w:szCs w:val="20"/>
            <w:u w:val="single"/>
            <w:rtl w:val="0"/>
          </w:rPr>
          <w:t xml:space="preserve">https://www.adiuvoengineering.com/post/microzed-chronicles-microblaze-v-mcs</w:t>
        </w:r>
      </w:hyperlink>
      <w:r w:rsidDel="00000000" w:rsidR="00000000" w:rsidRPr="00000000">
        <w:rPr>
          <w:rtl w:val="0"/>
        </w:rPr>
      </w:r>
    </w:p>
    <w:p w:rsidR="00000000" w:rsidDel="00000000" w:rsidP="00000000" w:rsidRDefault="00000000" w:rsidRPr="00000000" w14:paraId="00000050">
      <w:pPr>
        <w:spacing w:after="240" w:before="240" w:lineRule="auto"/>
        <w:rPr>
          <w:smallCaps w:val="1"/>
          <w:sz w:val="20"/>
          <w:szCs w:val="20"/>
        </w:rPr>
      </w:pPr>
      <w:r w:rsidDel="00000000" w:rsidR="00000000" w:rsidRPr="00000000">
        <w:rPr>
          <w:smallCaps w:val="1"/>
          <w:sz w:val="20"/>
          <w:szCs w:val="20"/>
          <w:rtl w:val="0"/>
        </w:rPr>
        <w:t xml:space="preserve">[3] Digilent, “Nexys A7 and Arty A7 FPGA trainer board: Recommended for EE curriculum,” </w:t>
      </w:r>
      <w:r w:rsidDel="00000000" w:rsidR="00000000" w:rsidRPr="00000000">
        <w:rPr>
          <w:i w:val="1"/>
          <w:iCs w:val="1"/>
          <w:smallCaps w:val="1"/>
          <w:sz w:val="20"/>
          <w:szCs w:val="20"/>
          <w:rtl w:val="0"/>
        </w:rPr>
        <w:t xml:space="preserve">Digilent</w:t>
      </w:r>
      <w:r w:rsidDel="00000000" w:rsidR="00000000" w:rsidRPr="00000000">
        <w:rPr>
          <w:smallCaps w:val="1"/>
          <w:sz w:val="20"/>
          <w:szCs w:val="20"/>
          <w:rtl w:val="0"/>
        </w:rPr>
        <w:t xml:space="preserve">. [Online]. Available: https://digilent.com/shop/nexys-a7-and-artix-7-fpga-trainer-board-recommended-for-ece-curriculum/</w:t>
      </w:r>
    </w:p>
    <w:p w:rsidR="00000000" w:rsidDel="00000000" w:rsidP="00000000" w:rsidRDefault="00000000" w:rsidRPr="00000000" w14:paraId="00000051">
      <w:pPr>
        <w:spacing w:after="60" w:before="180" w:lineRule="auto"/>
        <w:ind w:left="1008" w:firstLine="0"/>
        <w:jc w:val="left"/>
        <w:rPr>
          <w:smallCaps w:val="1"/>
          <w:sz w:val="20"/>
          <w:szCs w:val="20"/>
        </w:rPr>
      </w:pP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pP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pP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32"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sectPr>
          <w:type w:val="continuous"/>
          <w:pgSz w:h="16838" w:w="11906" w:orient="portrait"/>
          <w:pgMar w:bottom="2438" w:top="1077" w:left="811" w:right="811" w:header="709" w:footer="709"/>
          <w:cols w:equalWidth="0" w:num="2">
            <w:col w:space="238" w:w="5023.000000000001"/>
            <w:col w:space="0" w:w="5023.000000000001"/>
          </w:cols>
        </w:sectPr>
      </w:pPr>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tl w:val="0"/>
        </w:rPr>
      </w:r>
    </w:p>
    <w:sectPr>
      <w:type w:val="continuous"/>
      <w:pgSz w:h="16838" w:w="11906" w:orient="portrait"/>
      <w:pgMar w:bottom="2438" w:top="1077" w:left="811" w:right="811" w:header="709" w:footer="709"/>
      <w:cols w:equalWidth="0" w:num="2">
        <w:col w:space="238" w:w="5023.000000000001"/>
        <w:col w:space="0" w:w="5023.000000000001"/>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ourie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Roman"/>
      <w:lvlText w:val="%1."/>
      <w:lvlJc w:val="left"/>
      <w:pPr>
        <w:ind w:left="288" w:hanging="288"/>
      </w:pPr>
      <w:rPr>
        <w:rFonts w:ascii="Times New Roman" w:cs="Times New Roman" w:eastAsia="Times New Roman" w:hAnsi="Times New Roman"/>
        <w:b w:val="0"/>
        <w:bCs w:val="0"/>
        <w:i w:val="0"/>
        <w:iCs w:val="0"/>
        <w:smallCaps w:val="1"/>
        <w:strike w:val="0"/>
        <w:color w:val="000000"/>
        <w:sz w:val="20"/>
        <w:szCs w:val="20"/>
        <w:u w:val="none"/>
        <w:vertAlign w:val="baseline"/>
      </w:rPr>
    </w:lvl>
    <w:lvl w:ilvl="1">
      <w:start w:val="1"/>
      <w:numFmt w:val="upperLetter"/>
      <w:lvlText w:val="%2."/>
      <w:lvlJc w:val="left"/>
      <w:pPr>
        <w:ind w:left="288" w:hanging="288"/>
      </w:pPr>
      <w:rPr>
        <w:rFonts w:ascii="Times New Roman" w:cs="Times New Roman" w:eastAsia="Times New Roman" w:hAnsi="Times New Roman"/>
        <w:b w:val="0"/>
        <w:bCs w:val="0"/>
        <w:i w:val="0"/>
        <w:iCs w:val="0"/>
        <w:sz w:val="20"/>
        <w:szCs w:val="20"/>
      </w:rPr>
    </w:lvl>
    <w:lvl w:ilvl="2">
      <w:start w:val="1"/>
      <w:numFmt w:val="decimal"/>
      <w:lvlText w:val="%1.%2.%3"/>
      <w:lvlJc w:val="left"/>
      <w:pPr>
        <w:ind w:left="720"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AU"/>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Arial" w:cs="Arial" w:eastAsia="Arial" w:hAnsi="Arial"/>
      <w:b w:val="1"/>
      <w:bCs w:val="1"/>
      <w:sz w:val="32"/>
      <w:szCs w:val="32"/>
    </w:rPr>
  </w:style>
  <w:style w:type="paragraph" w:styleId="Heading2">
    <w:name w:val="heading 2"/>
    <w:basedOn w:val="Normal"/>
    <w:next w:val="Normal"/>
    <w:pPr>
      <w:keepNext w:val="1"/>
      <w:spacing w:after="60" w:before="240" w:lineRule="auto"/>
    </w:pPr>
    <w:rPr>
      <w:rFonts w:ascii="Arial" w:cs="Arial" w:eastAsia="Arial" w:hAnsi="Arial"/>
      <w:b w:val="1"/>
      <w:bCs w:val="1"/>
      <w:i w:val="1"/>
      <w:iCs w:val="1"/>
      <w:sz w:val="28"/>
      <w:szCs w:val="28"/>
    </w:rPr>
  </w:style>
  <w:style w:type="paragraph" w:styleId="Heading3">
    <w:name w:val="heading 3"/>
    <w:basedOn w:val="Normal"/>
    <w:next w:val="Normal"/>
    <w:pPr>
      <w:keepNext w:val="1"/>
      <w:spacing w:after="60" w:before="240" w:lineRule="auto"/>
      <w:ind w:left="360" w:hanging="360"/>
    </w:pPr>
    <w:rPr>
      <w:rFonts w:ascii="Arial" w:cs="Arial" w:eastAsia="Arial" w:hAnsi="Arial"/>
      <w:b w:val="1"/>
      <w:bCs w:val="1"/>
      <w:sz w:val="26"/>
      <w:szCs w:val="26"/>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semiHidden w:val="1"/>
  </w:style>
  <w:style w:type="table" w:styleId="TableNormal" w:default="1">
    <w:name w:val="Normal Table"/>
    <w:semiHidden w:val="1"/>
    <w:tblPr>
      <w:tblInd w:w="0.0" w:type="dxa"/>
      <w:tblCellMar>
        <w:top w:w="0.0" w:type="dxa"/>
        <w:left w:w="108.0" w:type="dxa"/>
        <w:bottom w:w="0.0" w:type="dxa"/>
        <w:right w:w="108.0" w:type="dxa"/>
      </w:tblCellMar>
    </w:tblPr>
  </w:style>
  <w:style w:type="numbering" w:styleId="NoList" w:default="1">
    <w:name w:val="No List"/>
    <w:semiHidden w:val="1"/>
  </w:style>
  <w:style w:type="paragraph" w:styleId="IEEEAuthorName" w:customStyle="1">
    <w:name w:val="IEEE Author Name"/>
    <w:basedOn w:val="Normal"/>
    <w:next w:val="Normal"/>
    <w:rsid w:val="00081EBE"/>
    <w:pPr>
      <w:adjustRightInd w:val="0"/>
      <w:snapToGrid w:val="0"/>
      <w:spacing w:after="120" w:before="120"/>
      <w:jc w:val="center"/>
    </w:pPr>
    <w:rPr>
      <w:rFonts w:eastAsia="Times New Roman"/>
      <w:sz w:val="22"/>
      <w:lang w:eastAsia="en-GB" w:val="en-GB"/>
    </w:rPr>
  </w:style>
  <w:style w:type="paragraph" w:styleId="IEEEAuthorAffiliation" w:customStyle="1">
    <w:name w:val="IEEE Author Affiliation"/>
    <w:basedOn w:val="Normal"/>
    <w:next w:val="Normal"/>
    <w:rsid w:val="00081EBE"/>
    <w:pPr>
      <w:spacing w:after="60"/>
      <w:jc w:val="center"/>
    </w:pPr>
    <w:rPr>
      <w:rFonts w:eastAsia="Times New Roman"/>
      <w:i w:val="1"/>
      <w:sz w:val="20"/>
      <w:lang w:eastAsia="en-GB" w:val="en-GB"/>
    </w:rPr>
  </w:style>
  <w:style w:type="paragraph" w:styleId="IEEEHeading2" w:customStyle="1">
    <w:name w:val="IEEE Heading 2"/>
    <w:basedOn w:val="Normal"/>
    <w:next w:val="IEEEParagraph"/>
    <w:rsid w:val="00273D2C"/>
    <w:pPr>
      <w:numPr>
        <w:numId w:val="37"/>
      </w:numPr>
      <w:adjustRightInd w:val="0"/>
      <w:snapToGrid w:val="0"/>
      <w:spacing w:after="60" w:before="150"/>
      <w:ind w:left="289" w:hanging="289"/>
    </w:pPr>
    <w:rPr>
      <w:i w:val="1"/>
      <w:sz w:val="20"/>
    </w:rPr>
  </w:style>
  <w:style w:type="paragraph" w:styleId="IEEEAuthorEmail" w:customStyle="1">
    <w:name w:val="IEEE Author Email"/>
    <w:next w:val="IEEEAuthorAffiliation"/>
    <w:rsid w:val="00081EBE"/>
    <w:pPr>
      <w:spacing w:after="60"/>
      <w:jc w:val="center"/>
    </w:pPr>
    <w:rPr>
      <w:rFonts w:ascii="Courier" w:eastAsia="Times New Roman" w:hAnsi="Courier"/>
      <w:sz w:val="18"/>
      <w:szCs w:val="24"/>
      <w:lang w:eastAsia="en-GB" w:val="en-GB"/>
    </w:rPr>
  </w:style>
  <w:style w:type="paragraph" w:styleId="IEEEAbstractHeading" w:customStyle="1">
    <w:name w:val="IEEE Abstract Heading"/>
    <w:basedOn w:val="IEEEAbtract"/>
    <w:next w:val="IEEEAbtract"/>
    <w:link w:val="IEEEAbstractHeadingChar"/>
    <w:rsid w:val="00D41274"/>
    <w:rPr>
      <w:i w:val="1"/>
    </w:rPr>
  </w:style>
  <w:style w:type="character" w:styleId="IEEEAbstractHeadingChar" w:customStyle="1">
    <w:name w:val="IEEE Abstract Heading Char"/>
    <w:link w:val="IEEEAbstractHeading"/>
    <w:rsid w:val="00D41274"/>
    <w:rPr>
      <w:rFonts w:eastAsia="SimSun"/>
      <w:b w:val="1"/>
      <w:i w:val="1"/>
      <w:sz w:val="18"/>
      <w:szCs w:val="24"/>
      <w:lang w:bidi="ar-SA" w:eastAsia="en-GB" w:val="en-GB"/>
    </w:rPr>
  </w:style>
  <w:style w:type="paragraph" w:styleId="IEEEAbtract" w:customStyle="1">
    <w:name w:val="IEEE Abtract"/>
    <w:basedOn w:val="Normal"/>
    <w:next w:val="Normal"/>
    <w:link w:val="IEEEAbtractChar"/>
    <w:rsid w:val="00D41274"/>
    <w:pPr>
      <w:adjustRightInd w:val="0"/>
      <w:snapToGrid w:val="0"/>
      <w:jc w:val="both"/>
    </w:pPr>
    <w:rPr>
      <w:b w:val="1"/>
      <w:sz w:val="18"/>
      <w:lang w:eastAsia="en-GB" w:val="en-GB"/>
    </w:rPr>
  </w:style>
  <w:style w:type="character" w:styleId="IEEEAbtractChar" w:customStyle="1">
    <w:name w:val="IEEE Abtract Char"/>
    <w:link w:val="IEEEAbtract"/>
    <w:rsid w:val="00D41274"/>
    <w:rPr>
      <w:rFonts w:eastAsia="SimSun"/>
      <w:b w:val="1"/>
      <w:sz w:val="18"/>
      <w:szCs w:val="24"/>
      <w:lang w:bidi="ar-SA" w:eastAsia="en-GB" w:val="en-GB"/>
    </w:rPr>
  </w:style>
  <w:style w:type="paragraph" w:styleId="IEEEParagraph" w:customStyle="1">
    <w:name w:val="IEEE Paragraph"/>
    <w:basedOn w:val="Normal"/>
    <w:link w:val="IEEEParagraphChar"/>
    <w:rsid w:val="004A6605"/>
    <w:pPr>
      <w:adjustRightInd w:val="0"/>
      <w:snapToGrid w:val="0"/>
      <w:ind w:firstLine="216"/>
      <w:jc w:val="both"/>
    </w:pPr>
  </w:style>
  <w:style w:type="paragraph" w:styleId="IEEEHeading1" w:customStyle="1">
    <w:name w:val="IEEE Heading 1"/>
    <w:basedOn w:val="Normal"/>
    <w:next w:val="IEEEParagraph"/>
    <w:rsid w:val="00273D2C"/>
    <w:pPr>
      <w:numPr>
        <w:numId w:val="46"/>
      </w:numPr>
      <w:adjustRightInd w:val="0"/>
      <w:snapToGrid w:val="0"/>
      <w:spacing w:after="60" w:before="180"/>
      <w:ind w:left="289" w:hanging="289"/>
      <w:jc w:val="center"/>
    </w:pPr>
    <w:rPr>
      <w:smallCaps w:val="1"/>
      <w:sz w:val="20"/>
    </w:rPr>
  </w:style>
  <w:style w:type="table" w:styleId="TableGrid">
    <w:name w:val="Table Grid"/>
    <w:basedOn w:val="TableNormal"/>
    <w:rsid w:val="00A03E75"/>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paragraph" w:styleId="IEEETableCell" w:customStyle="1">
    <w:name w:val="IEEE Table Cell"/>
    <w:basedOn w:val="IEEEParagraph"/>
    <w:rsid w:val="00331F84"/>
    <w:pPr>
      <w:ind w:firstLine="0"/>
      <w:jc w:val="left"/>
    </w:pPr>
    <w:rPr>
      <w:sz w:val="18"/>
    </w:rPr>
  </w:style>
  <w:style w:type="paragraph" w:styleId="IEEETitle" w:customStyle="1">
    <w:name w:val="IEEE Title"/>
    <w:basedOn w:val="Normal"/>
    <w:next w:val="IEEEAuthorName"/>
    <w:rsid w:val="00E32853"/>
    <w:pPr>
      <w:adjustRightInd w:val="0"/>
      <w:snapToGrid w:val="0"/>
      <w:jc w:val="center"/>
    </w:pPr>
    <w:rPr>
      <w:sz w:val="48"/>
    </w:rPr>
  </w:style>
  <w:style w:type="paragraph" w:styleId="IEEEHeading3" w:customStyle="1">
    <w:name w:val="IEEE Heading 3"/>
    <w:basedOn w:val="Normal"/>
    <w:next w:val="IEEEParagraph"/>
    <w:link w:val="IEEEHeading3Char"/>
    <w:rsid w:val="00321304"/>
    <w:pPr>
      <w:numPr>
        <w:numId w:val="24"/>
      </w:numPr>
      <w:adjustRightInd w:val="0"/>
      <w:snapToGrid w:val="0"/>
      <w:spacing w:after="60" w:before="120"/>
      <w:ind w:firstLine="216"/>
      <w:jc w:val="both"/>
    </w:pPr>
    <w:rPr>
      <w:i w:val="1"/>
      <w:sz w:val="20"/>
    </w:rPr>
  </w:style>
  <w:style w:type="paragraph" w:styleId="IEEETableCaption" w:customStyle="1">
    <w:name w:val="IEEE Table Caption"/>
    <w:basedOn w:val="Normal"/>
    <w:next w:val="IEEEParagraph"/>
    <w:rsid w:val="00A45FCE"/>
    <w:pPr>
      <w:spacing w:after="120" w:before="120"/>
      <w:jc w:val="center"/>
    </w:pPr>
    <w:rPr>
      <w:smallCaps w:val="1"/>
      <w:sz w:val="16"/>
    </w:rPr>
  </w:style>
  <w:style w:type="paragraph" w:styleId="Caption">
    <w:name w:val="caption"/>
    <w:basedOn w:val="Normal"/>
    <w:next w:val="Normal"/>
    <w:qFormat w:val="1"/>
    <w:rsid w:val="00A45FCE"/>
    <w:pPr>
      <w:spacing w:after="120" w:before="120"/>
    </w:pPr>
    <w:rPr>
      <w:b w:val="1"/>
      <w:bCs w:val="1"/>
      <w:sz w:val="20"/>
      <w:szCs w:val="20"/>
    </w:rPr>
  </w:style>
  <w:style w:type="character" w:styleId="IEEEParagraphChar" w:customStyle="1">
    <w:name w:val="IEEE Paragraph Char"/>
    <w:link w:val="IEEEParagraph"/>
    <w:rsid w:val="004A6605"/>
    <w:rPr>
      <w:rFonts w:eastAsia="SimSun"/>
      <w:sz w:val="24"/>
      <w:szCs w:val="24"/>
      <w:lang w:bidi="ar-SA" w:eastAsia="zh-CN" w:val="en-AU"/>
    </w:rPr>
  </w:style>
  <w:style w:type="numbering" w:styleId="IEEEBullet1" w:customStyle="1">
    <w:name w:val="IEEE Bullet 1"/>
    <w:basedOn w:val="NoList"/>
    <w:rsid w:val="00955B59"/>
    <w:pPr>
      <w:numPr>
        <w:numId w:val="43"/>
      </w:numPr>
    </w:pPr>
  </w:style>
  <w:style w:type="paragraph" w:styleId="IEEEFigureCaptionSingle-Line" w:customStyle="1">
    <w:name w:val="IEEE Figure Caption Single-Line"/>
    <w:basedOn w:val="IEEETableCaption"/>
    <w:next w:val="IEEEParagraph"/>
    <w:rsid w:val="00FA4909"/>
    <w:rPr>
      <w:smallCaps w:val="0"/>
    </w:rPr>
  </w:style>
  <w:style w:type="character" w:styleId="IEEEHeading3Char" w:customStyle="1">
    <w:name w:val="IEEE Heading 3 Char"/>
    <w:link w:val="IEEEHeading3"/>
    <w:rsid w:val="00321304"/>
    <w:rPr>
      <w:rFonts w:eastAsia="SimSun"/>
      <w:i w:val="1"/>
      <w:szCs w:val="24"/>
      <w:lang w:bidi="ar-SA" w:eastAsia="zh-CN" w:val="en-AU"/>
    </w:rPr>
  </w:style>
  <w:style w:type="paragraph" w:styleId="IEEEFigure" w:customStyle="1">
    <w:name w:val="IEEE Figure"/>
    <w:basedOn w:val="Normal"/>
    <w:next w:val="IEEEFigureCaptionSingle-Line"/>
    <w:rsid w:val="00D36B52"/>
    <w:pPr>
      <w:jc w:val="center"/>
    </w:pPr>
  </w:style>
  <w:style w:type="paragraph" w:styleId="IEEEReferenceItem" w:customStyle="1">
    <w:name w:val="IEEE Reference Item"/>
    <w:basedOn w:val="Normal"/>
    <w:rsid w:val="00CD4F3F"/>
    <w:pPr>
      <w:numPr>
        <w:numId w:val="47"/>
      </w:numPr>
      <w:adjustRightInd w:val="0"/>
      <w:snapToGrid w:val="0"/>
      <w:jc w:val="both"/>
    </w:pPr>
    <w:rPr>
      <w:sz w:val="16"/>
      <w:lang w:val="en-US"/>
    </w:rPr>
  </w:style>
  <w:style w:type="paragraph" w:styleId="IEEEFigureCaptionMulti-Lines" w:customStyle="1">
    <w:name w:val="IEEE Figure Caption Multi-Lines"/>
    <w:basedOn w:val="IEEEFigureCaptionSingle-Line"/>
    <w:next w:val="IEEEParagraph"/>
    <w:rsid w:val="00D36B52"/>
    <w:pPr>
      <w:jc w:val="both"/>
    </w:pPr>
  </w:style>
  <w:style w:type="paragraph" w:styleId="IEEETableHeaderCentered" w:customStyle="1">
    <w:name w:val="IEEE Table Header Centered"/>
    <w:basedOn w:val="IEEETableCell"/>
    <w:rsid w:val="00D36B52"/>
    <w:pPr>
      <w:jc w:val="center"/>
    </w:pPr>
    <w:rPr>
      <w:b w:val="1"/>
      <w:bCs w:val="1"/>
    </w:rPr>
  </w:style>
  <w:style w:type="paragraph" w:styleId="IEEETableHeaderLeft-Justified" w:customStyle="1">
    <w:name w:val="IEEE Table Header Left-Justified"/>
    <w:basedOn w:val="IEEETableCell"/>
    <w:rsid w:val="00D36B52"/>
    <w:rPr>
      <w:b w:val="1"/>
      <w:bCs w:val="1"/>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s://www.techtarget.com/rms/onlineImages/security-aes_design.jpg" TargetMode="External"/><Relationship Id="rId10" Type="http://schemas.openxmlformats.org/officeDocument/2006/relationships/hyperlink" Target="https://www.techtarget.com/rms/onlineImages/security-aes_design.jpg" TargetMode="External"/><Relationship Id="rId13" Type="http://schemas.openxmlformats.org/officeDocument/2006/relationships/hyperlink" Target="https://www.adiuvoengineering.com/post/microzed-chronicles-microblaze-v-mcs" TargetMode="External"/><Relationship Id="rId12" Type="http://schemas.openxmlformats.org/officeDocument/2006/relationships/hyperlink" Target="https://www.adiuvoengineering.com/post/microzed-chronicles-microblaze-v-mc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HR6LFt5uVkOcG7RL4rdWFNghSQ==">CgMxLjAaHwoBMBIaChgICVIUChJ0YWJsZS5xZTQ2dmdkejdhd3QaHwoBMRIaChgICVIUChJ0YWJsZS53eHBibTNpY2N5a204AHIhMW1ZSXNjM3VQQW04T3JxZDBVQ25DekxrVXE0anBubXpE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2012-07-13T07:50:00Z</dcterms:created>
  <dc:creator>Causal Productions</dc:creator>
</cp:coreProperties>
</file>