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CryptoTrace LEA</w:t>
      </w:r>
    </w:p>
    <w:p>
      <w:pPr>
        <w:jc w:val="center"/>
      </w:pPr>
      <w:r>
        <w:rPr>
          <w:b/>
          <w:sz w:val="26"/>
        </w:rPr>
        <w:t>Brief Solution Explanation, Workflow and Expected Output</w:t>
      </w:r>
    </w:p>
    <w:p>
      <w:pPr>
        <w:jc w:val="center"/>
      </w:pPr>
      <w:r>
        <w:rPr>
          <w:i/>
        </w:rPr>
        <w:t>SIH 26183 | Real-Time Crypto Fraud Attribution System for Indian Law Enforcement</w:t>
      </w:r>
    </w:p>
    <w:p>
      <w:pPr>
        <w:pStyle w:val="Heading1"/>
      </w:pPr>
      <w:r>
        <w:t>1. What CryptoTrace LEA Does</w:t>
      </w:r>
    </w:p>
    <w:p>
      <w:r>
        <w:t>CryptoTrace LEA converts a reported cryptocurrency wallet address into a structured, explainable and evidence-backed investigation. It does not claim to prove wallet ownership or automatically determine criminal liability. It helps investigators understand fund movement, identify suspicious behavioral patterns, assess candidate exchanges/VASPs, represent uncertainty, and prepare reviewable investigative outputs.</w:t>
      </w:r>
    </w:p>
    <w:p>
      <w:r>
        <w:t>Core principle: Evidence before conclusion; AI-assisted intelligence, not blind automation.</w:t>
      </w:r>
    </w:p>
    <w:p>
      <w:pPr>
        <w:pStyle w:val="Heading1"/>
      </w:pPr>
      <w:r>
        <w:t>2. End-to-End Workflow</w:t>
      </w:r>
    </w:p>
    <w:p>
      <w:pPr>
        <w:pStyle w:val="ListNumber"/>
      </w:pPr>
      <w:r>
        <w:rPr>
          <w:b/>
        </w:rPr>
        <w:t xml:space="preserve">Case intake: </w:t>
      </w:r>
      <w:r>
        <w:t>An investigator, authorized NCRP boundary, or SAHYOG bulletin submits a wallet, complaint details, chain information and fraud amount where available.</w:t>
      </w:r>
    </w:p>
    <w:p>
      <w:pPr>
        <w:pStyle w:val="ListNumber"/>
      </w:pPr>
      <w:r>
        <w:rPr>
          <w:b/>
        </w:rPr>
        <w:t xml:space="preserve">Validation and case linking: </w:t>
      </w:r>
      <w:r>
        <w:t>The system validates the address and input schema, checks duplicates, preserves source provenance, and creates or links the case idempotently.</w:t>
      </w:r>
    </w:p>
    <w:p>
      <w:pPr>
        <w:pStyle w:val="ListNumber"/>
      </w:pPr>
      <w:r>
        <w:rPr>
          <w:b/>
        </w:rPr>
        <w:t xml:space="preserve">Blockchain data ingestion: </w:t>
      </w:r>
      <w:r>
        <w:t>The system collects activity from supported providers: Ethereum and Polygon RPC/WebSocket infrastructure, TronGrid/Tron HTTP polling, Mempool.space for Bitcoin, Etherscan for historical lookup and labels, and CoinGecko for pricing.</w:t>
      </w:r>
    </w:p>
    <w:p>
      <w:pPr>
        <w:pStyle w:val="ListNumber"/>
      </w:pPr>
      <w:r>
        <w:rPr>
          <w:b/>
        </w:rPr>
        <w:t xml:space="preserve">Eight-stage processing: </w:t>
      </w:r>
      <w:r>
        <w:t>Each event moves through FETCH → VALIDATE → EXTRACT → NORMALIZE → DEDUPLICATE → PERSIST → COMMIT → ADVANCE CHECKPOINT.</w:t>
      </w:r>
    </w:p>
    <w:p>
      <w:pPr>
        <w:pStyle w:val="ListNumber"/>
      </w:pPr>
      <w:r>
        <w:rPr>
          <w:b/>
        </w:rPr>
        <w:t xml:space="preserve">Permanent correctness and raw evidence: </w:t>
      </w:r>
      <w:r>
        <w:t>Redis quickly suppresses recent duplicates, while PostgreSQL provides authoritative uniqueness constraints. Raw provider payloads are stored using deterministic SHA-256 hashing and collision-resistant paths.</w:t>
      </w:r>
    </w:p>
    <w:p>
      <w:pPr>
        <w:pStyle w:val="ListNumber"/>
      </w:pPr>
      <w:r>
        <w:rPr>
          <w:b/>
        </w:rPr>
        <w:t xml:space="preserve">Graph construction: </w:t>
      </w:r>
      <w:r>
        <w:t>Normalized transactions and transfers are projected into a graph that can be rebuilt from PostgreSQL.</w:t>
      </w:r>
    </w:p>
    <w:p>
      <w:pPr>
        <w:pStyle w:val="ListNumber"/>
      </w:pPr>
      <w:r>
        <w:rPr>
          <w:b/>
        </w:rPr>
        <w:t xml:space="preserve">Bounded tracing: </w:t>
      </w:r>
      <w:r>
        <w:t>The tracer follows funds using controlled limits such as maximum hops, time window, minimum value, maximum nodes, maximum outflows and timeout.</w:t>
      </w:r>
    </w:p>
    <w:p>
      <w:pPr>
        <w:pStyle w:val="ListNumber"/>
      </w:pPr>
      <w:r>
        <w:rPr>
          <w:b/>
        </w:rPr>
        <w:t xml:space="preserve">Typology detection: </w:t>
      </w:r>
      <w:r>
        <w:t>The system evaluates peel chains, fan-in, fan-out, rapid-hop activity, mixer boundaries, DEX/bridge boundaries and MULE_NETWORK.</w:t>
      </w:r>
    </w:p>
    <w:p>
      <w:pPr>
        <w:pStyle w:val="ListNumber"/>
      </w:pPr>
      <w:r>
        <w:rPr>
          <w:b/>
        </w:rPr>
        <w:t xml:space="preserve">VASP and attribution analysis: </w:t>
      </w:r>
      <w:r>
        <w:t>Labels are classified as verified, inferred or unresolved. AdaptiveVASPScorer records policy-versioned, explainable scoring steps.</w:t>
      </w:r>
    </w:p>
    <w:p>
      <w:pPr>
        <w:pStyle w:val="ListNumber"/>
      </w:pPr>
      <w:r>
        <w:rPr>
          <w:b/>
        </w:rPr>
        <w:t xml:space="preserve">Cross-chain analysis: </w:t>
      </w:r>
      <w:r>
        <w:t>The system distinguishes proven bridge events from heuristic time/value correlations and explicitly displays uncertainty.</w:t>
      </w:r>
    </w:p>
    <w:p>
      <w:pPr>
        <w:pStyle w:val="ListNumber"/>
      </w:pPr>
      <w:r>
        <w:rPr>
          <w:b/>
        </w:rPr>
        <w:t xml:space="preserve">Risk and recovery assessment: </w:t>
      </w:r>
      <w:r>
        <w:t>Risk and attribution confidence are calculated separately. Where permitted, the system displays a Heuristic Recovery Estimate—not a statistically calibrated probability.</w:t>
      </w:r>
    </w:p>
    <w:p>
      <w:pPr>
        <w:pStyle w:val="ListNumber"/>
      </w:pPr>
      <w:r>
        <w:rPr>
          <w:b/>
        </w:rPr>
        <w:t xml:space="preserve">Investigator output: </w:t>
      </w:r>
      <w:r>
        <w:t>The investigator receives a dashboard, graph, findings, evidence references, uncertainty notes, recommended next actions and an auditable case record.</w:t>
      </w:r>
    </w:p>
    <w:p>
      <w:pPr>
        <w:pStyle w:val="ListNumber"/>
      </w:pPr>
      <w:r>
        <w:rPr>
          <w:b/>
        </w:rPr>
        <w:t xml:space="preserve">Supervisor review: </w:t>
      </w:r>
      <w:r>
        <w:t>Supervisor approval is required for controlled preservation-request workflows. No legal action or fund freeze is automated.</w:t>
      </w:r>
    </w:p>
    <w:p>
      <w:pPr>
        <w:pStyle w:val="Heading1"/>
      </w:pPr>
      <w:r>
        <w:t>3. Worked Example</w:t>
      </w:r>
    </w:p>
    <w:p>
      <w:r>
        <w:t>The following is an illustrative demonstration scenario. It is not a real case and must be visibly marked as fixture/demo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Illustrative result</w:t>
            </w:r>
          </w:p>
        </w:tc>
      </w:tr>
      <w:tr>
        <w:tc>
          <w:tcPr>
            <w:tcW w:type="dxa" w:w="5112"/>
          </w:tcPr>
          <w:p>
            <w:r>
              <w:t>Input</w:t>
            </w:r>
          </w:p>
        </w:tc>
        <w:tc>
          <w:tcPr>
            <w:tcW w:type="dxa" w:w="5112"/>
          </w:tcPr>
          <w:p>
            <w:r>
              <w:t>Complaint-linked wallet W1 on Ethereum; reported fraud amount ₹2,00,000; incident timestamp supplied.</w:t>
            </w:r>
          </w:p>
        </w:tc>
      </w:tr>
      <w:tr>
        <w:tc>
          <w:tcPr>
            <w:tcW w:type="dxa" w:w="5112"/>
          </w:tcPr>
          <w:p>
            <w:r>
              <w:t>Observed movement</w:t>
            </w:r>
          </w:p>
        </w:tc>
        <w:tc>
          <w:tcPr>
            <w:tcW w:type="dxa" w:w="5112"/>
          </w:tcPr>
          <w:p>
            <w:r>
              <w:t>W1 sends funds to intermediary wallets W2, W3 and W4. Each intermediary receives a large inflow, performs limited activity, and sends funds onward to a new address.</w:t>
            </w:r>
          </w:p>
        </w:tc>
      </w:tr>
      <w:tr>
        <w:tc>
          <w:tcPr>
            <w:tcW w:type="dxa" w:w="5112"/>
          </w:tcPr>
          <w:p>
            <w:r>
              <w:t>Tracing</w:t>
            </w:r>
          </w:p>
        </w:tc>
        <w:tc>
          <w:tcPr>
            <w:tcW w:type="dxa" w:w="5112"/>
          </w:tcPr>
          <w:p>
            <w:r>
              <w:t>The bounded tracer follows transfers within configured hop and time limits and records transaction hashes, block heights, values, timestamps and asset type.</w:t>
            </w:r>
          </w:p>
        </w:tc>
      </w:tr>
      <w:tr>
        <w:tc>
          <w:tcPr>
            <w:tcW w:type="dxa" w:w="5112"/>
          </w:tcPr>
          <w:p>
            <w:r>
              <w:t>Typology</w:t>
            </w:r>
          </w:p>
        </w:tc>
        <w:tc>
          <w:tcPr>
            <w:tcW w:type="dxa" w:w="5112"/>
          </w:tcPr>
          <w:p>
            <w:r>
              <w:t>Three or more suspect-origin wallets show the defined mule behavior. The system creates a MULE_NETWORK finding with MEDIUM confidence, evidence fields and an uncertainty/data-coverage note if required.</w:t>
            </w:r>
          </w:p>
        </w:tc>
      </w:tr>
      <w:tr>
        <w:tc>
          <w:tcPr>
            <w:tcW w:type="dxa" w:w="5112"/>
          </w:tcPr>
          <w:p>
            <w:r>
              <w:t>Asset separation</w:t>
            </w:r>
          </w:p>
        </w:tc>
        <w:tc>
          <w:tcPr>
            <w:tcW w:type="dxa" w:w="5112"/>
          </w:tcPr>
          <w:p>
            <w:r>
              <w:t>If ETH and an ERC-20 token are involved, separate findings are created for each asset type and linked through cross_reference.</w:t>
            </w:r>
          </w:p>
        </w:tc>
      </w:tr>
      <w:tr>
        <w:tc>
          <w:tcPr>
            <w:tcW w:type="dxa" w:w="5112"/>
          </w:tcPr>
          <w:p>
            <w:r>
              <w:t>VASP candidate</w:t>
            </w:r>
          </w:p>
        </w:tc>
        <w:tc>
          <w:tcPr>
            <w:tcW w:type="dxa" w:w="5112"/>
          </w:tcPr>
          <w:p>
            <w:r>
              <w:t>A destination is associated with a labelled exchange. The label is preserved with provenance and does not prove ownership or illicit conduct.</w:t>
            </w:r>
          </w:p>
        </w:tc>
      </w:tr>
      <w:tr>
        <w:tc>
          <w:tcPr>
            <w:tcW w:type="dxa" w:w="5112"/>
          </w:tcPr>
          <w:p>
            <w:r>
              <w:t>Attribution</w:t>
            </w:r>
          </w:p>
        </w:tc>
        <w:tc>
          <w:tcPr>
            <w:tcW w:type="dxa" w:w="5112"/>
          </w:tcPr>
          <w:p>
            <w:r>
              <w:t>AdaptiveVASPScorer records policy version, structural overrides, multipliers, clamping, renormalization and final score.</w:t>
            </w:r>
          </w:p>
        </w:tc>
      </w:tr>
      <w:tr>
        <w:tc>
          <w:tcPr>
            <w:tcW w:type="dxa" w:w="5112"/>
          </w:tcPr>
          <w:p>
            <w:r>
              <w:t>Recovery display</w:t>
            </w:r>
          </w:p>
        </w:tc>
        <w:tc>
          <w:tcPr>
            <w:tcW w:type="dxa" w:w="5112"/>
          </w:tcPr>
          <w:p>
            <w:r>
              <w:t>If the top VASP confidence is sufficient, the UI displays Heuristic Recovery Estimate with an action window and disclaimer. Otherwise it displays: Attribution confidence insufficient for recovery estimate.</w:t>
            </w:r>
          </w:p>
        </w:tc>
      </w:tr>
      <w:tr>
        <w:tc>
          <w:tcPr>
            <w:tcW w:type="dxa" w:w="5112"/>
          </w:tcPr>
          <w:p>
            <w:r>
              <w:t>Investigator action</w:t>
            </w:r>
          </w:p>
        </w:tc>
        <w:tc>
          <w:tcPr>
            <w:tcW w:type="dxa" w:w="5112"/>
          </w:tcPr>
          <w:p>
            <w:r>
              <w:t>The investigator reviews the graph, evidence and uncertainty, adds notes, and may draft a preservation request. Approval remains supervisor-gated.</w:t>
            </w:r>
          </w:p>
        </w:tc>
      </w:tr>
    </w:tbl>
    <w:p>
      <w:pPr>
        <w:pStyle w:val="Heading1"/>
      </w:pPr>
      <w:r>
        <w:t>4. What the Investigator Should See</w:t>
      </w:r>
    </w:p>
    <w:p>
      <w:pPr>
        <w:pStyle w:val="ListBullet"/>
      </w:pPr>
      <w:r>
        <w:t>Clear case header with case ID, source, chain, wallet, reported amount and LIVE or FIXTURE/DEMO status.</w:t>
      </w:r>
    </w:p>
    <w:p>
      <w:pPr>
        <w:pStyle w:val="ListBullet"/>
      </w:pPr>
      <w:r>
        <w:t>A practical, visually rich investigation dashboard—not a monotonous or generic AI-style interface.</w:t>
      </w:r>
    </w:p>
    <w:p>
      <w:pPr>
        <w:pStyle w:val="ListBullet"/>
      </w:pPr>
      <w:r>
        <w:t>Fund-flow graph with transaction hashes, timestamps, assets, values, direction, hop number and expandable evidence.</w:t>
      </w:r>
    </w:p>
    <w:p>
      <w:pPr>
        <w:pStyle w:val="ListBullet"/>
      </w:pPr>
      <w:r>
        <w:t>Separate panels for tracing, typologies, VASP candidates, attribution confidence, risk, cross-chain links and data completeness.</w:t>
      </w:r>
    </w:p>
    <w:p>
      <w:pPr>
        <w:pStyle w:val="ListBullet"/>
      </w:pPr>
      <w:r>
        <w:t>Prominent Heuristic Recovery Estimate only when boundary conditions are satisfied.</w:t>
      </w:r>
    </w:p>
    <w:p>
      <w:pPr>
        <w:pStyle w:val="ListBullet"/>
      </w:pPr>
      <w:r>
        <w:t>Amber India Fraud Pattern badge for MULE_NETWORK findings.</w:t>
      </w:r>
    </w:p>
    <w:p>
      <w:pPr>
        <w:pStyle w:val="ListBullet"/>
      </w:pPr>
      <w:r>
        <w:t>Visible labels such as VERIFIED, INFERRED, UNRESOLVED, PARTIAL and HEURISTIC.</w:t>
      </w:r>
    </w:p>
    <w:p>
      <w:pPr>
        <w:pStyle w:val="ListBullet"/>
      </w:pPr>
      <w:r>
        <w:t>Source badges and demo_data fields wherever fixture or simulated information is involved.</w:t>
      </w:r>
    </w:p>
    <w:p>
      <w:pPr>
        <w:pStyle w:val="ListBullet"/>
      </w:pPr>
      <w:r>
        <w:t>Human-readable recommendations linked to evidence and uncertainty.</w:t>
      </w:r>
    </w:p>
    <w:p>
      <w:pPr>
        <w:pStyle w:val="ListBullet"/>
      </w:pPr>
      <w:r>
        <w:t>Audit history, evidence manifest references and supervisor controls.</w:t>
      </w:r>
    </w:p>
    <w:p>
      <w:pPr>
        <w:pStyle w:val="Heading1"/>
      </w:pPr>
      <w:r>
        <w:t>5. Expected System Output</w:t>
      </w:r>
    </w:p>
    <w:p>
      <w:pPr>
        <w:pStyle w:val="ListBullet"/>
      </w:pPr>
      <w:r>
        <w:t>Case record with complaint/source linkage, suspect wallet, chain, timestamps and provenance.</w:t>
      </w:r>
    </w:p>
    <w:p>
      <w:pPr>
        <w:pStyle w:val="ListBullet"/>
      </w:pPr>
      <w:r>
        <w:t>Normalized transaction and transfer records with canonical values, asset, direction, block/transaction references and finality state.</w:t>
      </w:r>
    </w:p>
    <w:p>
      <w:pPr>
        <w:pStyle w:val="ListBullet"/>
      </w:pPr>
      <w:r>
        <w:t>Bounded trace result with paths, hops, nodes, values, time window, termination reason and limits.</w:t>
      </w:r>
    </w:p>
    <w:p>
      <w:pPr>
        <w:pStyle w:val="ListBullet"/>
      </w:pPr>
      <w:r>
        <w:t>Typology findings with rule name/version, evidence fields, confidence, uncertainty and data completeness.</w:t>
      </w:r>
    </w:p>
    <w:p>
      <w:pPr>
        <w:pStyle w:val="ListBullet"/>
      </w:pPr>
      <w:r>
        <w:t>VASP intelligence with label type, source, confidence and verified/inferred/unresolved status.</w:t>
      </w:r>
    </w:p>
    <w:p>
      <w:pPr>
        <w:pStyle w:val="ListBullet"/>
      </w:pPr>
      <w:r>
        <w:t>Attribution assessment with score, confidence band, policy version and complete scoring metadata.</w:t>
      </w:r>
    </w:p>
    <w:p>
      <w:pPr>
        <w:pStyle w:val="ListBullet"/>
      </w:pPr>
      <w:r>
        <w:t>Cross-chain findings distinguishing proven bridge evidence from heuristic correlation.</w:t>
      </w:r>
    </w:p>
    <w:p>
      <w:pPr>
        <w:pStyle w:val="ListBullet"/>
      </w:pPr>
      <w:r>
        <w:t>Recovery output containing recovery_score, action_window_hours, display tier and disclaimer when eligible.</w:t>
      </w:r>
    </w:p>
    <w:p>
      <w:pPr>
        <w:pStyle w:val="ListBullet"/>
      </w:pPr>
      <w:r>
        <w:t>Recommendations linked to supporting evidence and uncertainty.</w:t>
      </w:r>
    </w:p>
    <w:p>
      <w:pPr>
        <w:pStyle w:val="ListBullet"/>
      </w:pPr>
      <w:r>
        <w:t>Evidence manifest with deterministic raw payload hashes and integrity references.</w:t>
      </w:r>
    </w:p>
    <w:p>
      <w:pPr>
        <w:pStyle w:val="ListBullet"/>
      </w:pPr>
      <w:r>
        <w:t>Audit events for material user, system and supervisor actions.</w:t>
      </w:r>
    </w:p>
    <w:p>
      <w:pPr>
        <w:pStyle w:val="Heading1"/>
      </w:pPr>
      <w:r>
        <w:t>6. Example Human-Readable Finding</w:t>
      </w:r>
    </w:p>
    <w:p>
      <w:r>
        <w:rPr>
          <w:b/>
        </w:rPr>
        <w:t>Finding: MULE_NETWORK</w:t>
        <w:br/>
      </w:r>
      <w:r>
        <w:t>Confidence: MEDIUM | India Fraud Pattern: AMBER</w:t>
        <w:br/>
        <w:t>Evidence: Three or more wallets display a single large inbound transfer followed by a single outbound transfer to a new address with limited additional activity. Amount similarity was evaluated using fee-normalized values within policy tolerance.</w:t>
        <w:br/>
        <w:t>Limitations: Wallet history may be PARTIAL. Complaint-linked and behavior-only wallets are distinguished. This finding is an investigative lead and does not establish ownership or criminal liability.</w:t>
      </w:r>
    </w:p>
    <w:p>
      <w:pPr>
        <w:pStyle w:val="Heading1"/>
      </w:pPr>
      <w:r>
        <w:t>7. Important Guardrails</w:t>
      </w:r>
    </w:p>
    <w:p>
      <w:pPr>
        <w:pStyle w:val="ListBullet"/>
      </w:pPr>
      <w:r>
        <w:t>PostgreSQL is the permanent idempotency safeguard; Redis is the fast recent-duplicate layer.</w:t>
      </w:r>
    </w:p>
    <w:p>
      <w:pPr>
        <w:pStyle w:val="ListBullet"/>
      </w:pPr>
      <w:r>
        <w:t>Every supported event type must have a defined canonical identity before ingestion.</w:t>
      </w:r>
    </w:p>
    <w:p>
      <w:pPr>
        <w:pStyle w:val="ListBullet"/>
      </w:pPr>
      <w:r>
        <w:t>Raw payloads use deterministic compact JSON serialization before hashing.</w:t>
      </w:r>
    </w:p>
    <w:p>
      <w:pPr>
        <w:pStyle w:val="ListBullet"/>
      </w:pPr>
      <w:r>
        <w:t>Attribution confidence is not ownership proof.</w:t>
      </w:r>
    </w:p>
    <w:p>
      <w:pPr>
        <w:pStyle w:val="ListBullet"/>
      </w:pPr>
      <w:r>
        <w:t>Mixer boundary outputs are heuristic leads, not proven exit attribution.</w:t>
      </w:r>
    </w:p>
    <w:p>
      <w:pPr>
        <w:pStyle w:val="ListBullet"/>
      </w:pPr>
      <w:r>
        <w:t>A Heuristic Recovery Estimate is not a statistical probability.</w:t>
      </w:r>
    </w:p>
    <w:p>
      <w:pPr>
        <w:pStyle w:val="ListBullet"/>
      </w:pPr>
      <w:r>
        <w:t>Incomplete indexing must be visible to investigators.</w:t>
      </w:r>
    </w:p>
    <w:p>
      <w:pPr>
        <w:pStyle w:val="ListBullet"/>
      </w:pPr>
      <w:r>
        <w:t>Synthetic or fixture data must never be presented as live intelligence.</w:t>
      </w:r>
    </w:p>
    <w:p>
      <w:pPr>
        <w:pStyle w:val="ListBullet"/>
      </w:pPr>
      <w:r>
        <w:t>No automatic legal action, freezing, guilt declaration or unsupported certainty.</w:t>
      </w:r>
    </w:p>
    <w:p>
      <w:pPr>
        <w:pStyle w:val="Heading1"/>
      </w:pPr>
      <w:r>
        <w:t>8. Demonstration Sequence</w:t>
      </w:r>
    </w:p>
    <w:p>
      <w:pPr>
        <w:pStyle w:val="ListNumber"/>
      </w:pPr>
      <w:r>
        <w:t>Introduce MULE_NETWORK, AdaptiveVASPScorer and Heuristic Recovery Estimate.</w:t>
      </w:r>
    </w:p>
    <w:p>
      <w:pPr>
        <w:pStyle w:val="ListNumber"/>
      </w:pPr>
      <w:r>
        <w:t>Open a clearly labelled demo complaint or wallet intake.</w:t>
      </w:r>
    </w:p>
    <w:p>
      <w:pPr>
        <w:pStyle w:val="ListNumber"/>
      </w:pPr>
      <w:r>
        <w:t>Show validation, provenance and case creation.</w:t>
      </w:r>
    </w:p>
    <w:p>
      <w:pPr>
        <w:pStyle w:val="ListNumber"/>
      </w:pPr>
      <w:r>
        <w:t>Show ingestion status and the fund-flow graph.</w:t>
      </w:r>
    </w:p>
    <w:p>
      <w:pPr>
        <w:pStyle w:val="ListNumber"/>
      </w:pPr>
      <w:r>
        <w:t>Open the MULE_NETWORK finding and explain its evidence and MEDIUM confidence cap.</w:t>
      </w:r>
    </w:p>
    <w:p>
      <w:pPr>
        <w:pStyle w:val="ListNumber"/>
      </w:pPr>
      <w:r>
        <w:t>Open the VASP candidate and show the adaptive scoring trace and policy version.</w:t>
      </w:r>
    </w:p>
    <w:p>
      <w:pPr>
        <w:pStyle w:val="ListNumber"/>
      </w:pPr>
      <w:r>
        <w:t>Show the Heuristic Recovery Estimate only if attribution conditions are satisfied.</w:t>
      </w:r>
    </w:p>
    <w:p>
      <w:pPr>
        <w:pStyle w:val="ListNumber"/>
      </w:pPr>
      <w:r>
        <w:t>Show uncertainty, data completeness, evidence references and recommended next steps.</w:t>
      </w:r>
    </w:p>
    <w:p>
      <w:pPr>
        <w:pStyle w:val="ListNumber"/>
      </w:pPr>
      <w:r>
        <w:t>Demonstrate supervisor-gated preservation-request drafting without claiming automatic legal action.</w:t>
      </w:r>
    </w:p>
    <w:p>
      <w:pPr>
        <w:pStyle w:val="Heading1"/>
      </w:pPr>
      <w:r>
        <w:t>9. Final Product Positioning</w:t>
      </w:r>
    </w:p>
    <w:p>
      <w:r>
        <w:t>CryptoTrace LEA should look like a professional investigation workstation: evidence-first, graph-centric, auditable, operationally clear and designed for human decision-making. Its value is the controlled chain from complaint → blockchain facts → bounded trace → explainable finding → provenance-aware attribution → uncertainty-aware recommendation → evidence package.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