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FE" w:rsidRPr="009852FE" w:rsidRDefault="009852FE" w:rsidP="009852FE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Helvetica" w:eastAsia="Times New Roman" w:hAnsi="Helvetica" w:cs="Helvetica"/>
          <w:b/>
          <w:bCs/>
          <w:caps/>
          <w:color w:val="252525"/>
          <w:kern w:val="36"/>
          <w:sz w:val="54"/>
          <w:szCs w:val="54"/>
        </w:rPr>
      </w:pPr>
      <w:bookmarkStart w:id="0" w:name="_GoBack"/>
      <w:bookmarkEnd w:id="0"/>
      <w:r w:rsidRPr="009852FE">
        <w:rPr>
          <w:rFonts w:ascii="Helvetica" w:eastAsia="Times New Roman" w:hAnsi="Helvetica" w:cs="Helvetica"/>
          <w:b/>
          <w:bCs/>
          <w:caps/>
          <w:color w:val="252525"/>
          <w:kern w:val="36"/>
          <w:sz w:val="54"/>
          <w:szCs w:val="54"/>
        </w:rPr>
        <w:t>CONFIGURING THE SERVICES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allow you to configure which services are started at boot time, Red Hat Enterprise Linux is shipped with the following utilities: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 Configuration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graphical application, the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ntsysv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text user interface, and the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chkconfig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command-line tool.</w:t>
      </w:r>
    </w:p>
    <w:p w:rsidR="009852FE" w:rsidRPr="009852FE" w:rsidRDefault="009852FE" w:rsidP="009852FE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Important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ensure optimal performance on POWER architecture, it is recommended that the </w:t>
      </w:r>
      <w:proofErr w:type="spellStart"/>
      <w:r w:rsidRPr="009852FE">
        <w:rPr>
          <w:rFonts w:ascii="Consolas" w:eastAsia="Times New Roman" w:hAnsi="Consolas" w:cs="Consolas"/>
          <w:color w:val="252525"/>
        </w:rPr>
        <w:t>irqbalance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service is enabled. In most cases, this service is installed and configured to run during the Red Hat Enterprise Linux 6 installation. To verify that </w:t>
      </w:r>
      <w:proofErr w:type="spellStart"/>
      <w:r w:rsidRPr="009852FE">
        <w:rPr>
          <w:rFonts w:ascii="Consolas" w:eastAsia="Times New Roman" w:hAnsi="Consolas" w:cs="Consolas"/>
          <w:color w:val="252525"/>
        </w:rPr>
        <w:t>irqbalance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is running, as </w:t>
      </w:r>
      <w:r w:rsidRPr="009852FE">
        <w:rPr>
          <w:rFonts w:ascii="Consolas" w:eastAsia="Times New Roman" w:hAnsi="Consolas" w:cs="Consolas"/>
          <w:color w:val="252525"/>
        </w:rPr>
        <w:t>root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type the following at a shell prompt:</w:t>
      </w:r>
    </w:p>
    <w:p w:rsidR="009852FE" w:rsidRPr="009852FE" w:rsidRDefault="009852FE" w:rsidP="009852FE">
      <w:pPr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F0F0F0"/>
          <w:sz w:val="20"/>
          <w:szCs w:val="20"/>
        </w:rPr>
      </w:pPr>
      <w:proofErr w:type="gram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~]#</w:t>
      </w:r>
      <w:proofErr w:type="gram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service </w:t>
      </w:r>
      <w:proofErr w:type="spell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irqbalance</w:t>
      </w:r>
      <w:proofErr w:type="spell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status</w:t>
      </w:r>
    </w:p>
    <w:p w:rsidR="009852FE" w:rsidRPr="009852FE" w:rsidRDefault="009852FE" w:rsidP="009852FE">
      <w:pPr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F0F0F0"/>
          <w:sz w:val="20"/>
          <w:szCs w:val="20"/>
        </w:rPr>
      </w:pPr>
      <w:proofErr w:type="spellStart"/>
      <w:proofErr w:type="gram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irqbalance</w:t>
      </w:r>
      <w:proofErr w:type="spellEnd"/>
      <w:proofErr w:type="gram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(</w:t>
      </w:r>
      <w:proofErr w:type="spell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pid</w:t>
      </w:r>
      <w:proofErr w:type="spell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 1234) is running...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For information on how to enable and run a service using a graphical user interface, see </w:t>
      </w:r>
      <w:hyperlink r:id="rId5" w:anchor="s2-services-serviceconf" w:history="1"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>Section 12.2.1, “Using the Service Configuration Utility”</w:t>
        </w:r>
      </w:hyperlink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. For instructions on how to perform </w:t>
      </w:r>
      <w:proofErr w:type="gram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these task</w:t>
      </w:r>
      <w:proofErr w:type="gram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on the command line, see </w:t>
      </w:r>
      <w:hyperlink r:id="rId6" w:history="1"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 xml:space="preserve">Section 12.2.3, “Using the </w:t>
        </w:r>
        <w:proofErr w:type="spellStart"/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>chkconfig</w:t>
        </w:r>
        <w:proofErr w:type="spellEnd"/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 xml:space="preserve"> Utility”</w:t>
        </w:r>
      </w:hyperlink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and </w:t>
      </w:r>
      <w:hyperlink r:id="rId7" w:history="1"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>Section 12.3, “Running Services”</w:t>
        </w:r>
      </w:hyperlink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respectively.</w:t>
      </w:r>
    </w:p>
    <w:p w:rsidR="009852FE" w:rsidRPr="009852FE" w:rsidRDefault="009852FE" w:rsidP="009852FE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color w:val="252525"/>
          <w:sz w:val="27"/>
          <w:szCs w:val="27"/>
        </w:rPr>
      </w:pPr>
      <w:r w:rsidRPr="009852FE">
        <w:rPr>
          <w:rFonts w:ascii="Helvetica" w:eastAsia="Times New Roman" w:hAnsi="Helvetica" w:cs="Helvetica"/>
          <w:color w:val="252525"/>
          <w:sz w:val="27"/>
          <w:szCs w:val="27"/>
        </w:rPr>
        <w:t>12.2.1. Using the Service Configuration Utility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 Configuration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 utility is a graphical application developed by Red Hat to configure which services are started in a particular 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runlevel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as well as to start, stop, and restart them from the menu. To start the utility, select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System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Administration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Services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from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the </w:t>
      </w:r>
      <w:proofErr w:type="gram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panel,</w:t>
      </w:r>
      <w:proofErr w:type="gram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or type the command </w:t>
      </w:r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system-</w:t>
      </w:r>
      <w:proofErr w:type="spellStart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config</w:t>
      </w:r>
      <w:proofErr w:type="spellEnd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-services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at a shell prompt.</w:t>
      </w:r>
    </w:p>
    <w:p w:rsidR="009852FE" w:rsidRPr="009852FE" w:rsidRDefault="009852FE" w:rsidP="009852FE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Note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The </w:t>
      </w:r>
      <w:r w:rsidRPr="009852FE">
        <w:rPr>
          <w:rFonts w:ascii="Consolas" w:eastAsia="Times New Roman" w:hAnsi="Consolas" w:cs="Consolas"/>
          <w:color w:val="252525"/>
        </w:rPr>
        <w:t>system-</w:t>
      </w:r>
      <w:proofErr w:type="spellStart"/>
      <w:r w:rsidRPr="009852FE">
        <w:rPr>
          <w:rFonts w:ascii="Consolas" w:eastAsia="Times New Roman" w:hAnsi="Consolas" w:cs="Consolas"/>
          <w:color w:val="252525"/>
        </w:rPr>
        <w:t>config</w:t>
      </w:r>
      <w:proofErr w:type="spellEnd"/>
      <w:r w:rsidRPr="009852FE">
        <w:rPr>
          <w:rFonts w:ascii="Consolas" w:eastAsia="Times New Roman" w:hAnsi="Consolas" w:cs="Consolas"/>
          <w:color w:val="252525"/>
        </w:rPr>
        <w:t>-services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utility is provided by the system-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config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-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servicespackage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which may not be installed by default on your version of Red Hat Enterprise Linux. To ensure that, first run the following command:</w:t>
      </w:r>
    </w:p>
    <w:p w:rsidR="009852FE" w:rsidRPr="009852FE" w:rsidRDefault="009852FE" w:rsidP="009852FE">
      <w:pPr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F0F0F0"/>
          <w:sz w:val="20"/>
          <w:szCs w:val="20"/>
        </w:rPr>
      </w:pPr>
      <w:proofErr w:type="gram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~]$</w:t>
      </w:r>
      <w:proofErr w:type="gram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rpm -q system-</w:t>
      </w:r>
      <w:proofErr w:type="spell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config</w:t>
      </w:r>
      <w:proofErr w:type="spell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-services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If the package is not installed by default, install it manually by running the following command as root:</w:t>
      </w:r>
    </w:p>
    <w:p w:rsidR="009852FE" w:rsidRPr="009852FE" w:rsidRDefault="009852FE" w:rsidP="009852FE">
      <w:pPr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F0F0F0"/>
          <w:sz w:val="20"/>
          <w:szCs w:val="20"/>
        </w:rPr>
      </w:pPr>
      <w:proofErr w:type="gram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~]#</w:t>
      </w:r>
      <w:proofErr w:type="gram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 xml:space="preserve"> yum install system-</w:t>
      </w:r>
      <w:proofErr w:type="spellStart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config</w:t>
      </w:r>
      <w:proofErr w:type="spellEnd"/>
      <w:r w:rsidRPr="009852FE">
        <w:rPr>
          <w:rFonts w:ascii="Consolas" w:eastAsia="Times New Roman" w:hAnsi="Consolas" w:cs="Consolas"/>
          <w:color w:val="F0F0F0"/>
          <w:sz w:val="20"/>
          <w:szCs w:val="20"/>
        </w:rPr>
        <w:t>-services</w:t>
      </w:r>
    </w:p>
    <w:p w:rsidR="009852FE" w:rsidRPr="009852FE" w:rsidRDefault="009852FE" w:rsidP="009852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52525"/>
          <w:sz w:val="24"/>
          <w:szCs w:val="24"/>
        </w:rPr>
        <w:lastRenderedPageBreak/>
        <w:drawing>
          <wp:inline distT="0" distB="0" distL="0" distR="0">
            <wp:extent cx="4229100" cy="2924175"/>
            <wp:effectExtent l="0" t="0" r="0" b="9525"/>
            <wp:docPr id="8" name="Picture 8" descr="The Service Configuration u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ervice Configuration uti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FE" w:rsidRPr="009852FE" w:rsidRDefault="009852FE" w:rsidP="009852FE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 w:val="24"/>
          <w:szCs w:val="24"/>
        </w:rPr>
      </w:pPr>
      <w:proofErr w:type="gram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Figure 12.1.</w:t>
      </w:r>
      <w:proofErr w:type="gramEnd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 The Service Configuration utility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The utility displays the list of all available services (services from the </w:t>
      </w:r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/</w:t>
      </w:r>
      <w:proofErr w:type="spellStart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etc</w:t>
      </w:r>
      <w:proofErr w:type="spellEnd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/</w:t>
      </w:r>
      <w:proofErr w:type="spellStart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rc.d</w:t>
      </w:r>
      <w:proofErr w:type="spellEnd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/</w:t>
      </w:r>
      <w:proofErr w:type="spellStart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init.d</w:t>
      </w:r>
      <w:proofErr w:type="spellEnd"/>
      <w:r w:rsidRPr="009852FE">
        <w:rPr>
          <w:rFonts w:ascii="Consolas" w:eastAsia="Times New Roman" w:hAnsi="Consolas" w:cs="Consolas"/>
          <w:color w:val="252525"/>
          <w:shd w:val="clear" w:color="auto" w:fill="F5F5F5"/>
        </w:rPr>
        <w:t>/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directory, as well as services controlled by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xinetd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) along with their description and the current status. For a complete list of used icons and an explanation of their meaning, see </w:t>
      </w:r>
      <w:hyperlink r:id="rId9" w:anchor="tab-services-serviceconf-states" w:history="1">
        <w:r w:rsidRPr="009852FE">
          <w:rPr>
            <w:rFonts w:ascii="Helvetica" w:eastAsia="Times New Roman" w:hAnsi="Helvetica" w:cs="Helvetica"/>
            <w:color w:val="0066CC"/>
            <w:sz w:val="24"/>
            <w:szCs w:val="24"/>
            <w:u w:val="single"/>
          </w:rPr>
          <w:t>Table 12.2, “Possible service states”</w:t>
        </w:r>
      </w:hyperlink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.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Note that unless you are already authenticated, you will be prompted to enter the 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superuser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password the first time you make a change.</w:t>
      </w:r>
    </w:p>
    <w:p w:rsidR="009852FE" w:rsidRPr="009852FE" w:rsidRDefault="009852FE" w:rsidP="009852FE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 w:val="24"/>
          <w:szCs w:val="24"/>
        </w:rPr>
      </w:pPr>
      <w:proofErr w:type="gram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Table 12.2.</w:t>
      </w:r>
      <w:proofErr w:type="gramEnd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 Possible service states</w:t>
      </w:r>
    </w:p>
    <w:tbl>
      <w:tblPr>
        <w:tblW w:w="9780" w:type="dxa"/>
        <w:tblCellSpacing w:w="15" w:type="dxa"/>
        <w:tblBorders>
          <w:top w:val="single" w:sz="6" w:space="0" w:color="D1D1D1"/>
          <w:bottom w:val="single" w:sz="6" w:space="0" w:color="D1D1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ossible service states"/>
      </w:tblPr>
      <w:tblGrid>
        <w:gridCol w:w="956"/>
        <w:gridCol w:w="8824"/>
      </w:tblGrid>
      <w:tr w:rsidR="009852FE" w:rsidRPr="009852FE" w:rsidTr="009852F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1D1D1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</w:rPr>
              <w:t>Icon</w:t>
            </w:r>
          </w:p>
        </w:tc>
        <w:tc>
          <w:tcPr>
            <w:tcW w:w="0" w:type="auto"/>
            <w:tcBorders>
              <w:top w:val="nil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5F5F5"/>
            <w:vAlign w:val="bottom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</w:rPr>
              <w:t>Description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7" name="Picture 7" descr="https://access.redhat.com/webassets/avalon/d/Red_Hat_Enterprise_Linux-6-Deployment_Guide-en-US/images/80bb9e36d0c8c6637b0065e91a747361/controlling-access-to-services-service_ena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ccess.redhat.com/webassets/avalon/d/Red_Hat_Enterprise_Linux-6-Deployment_Guide-en-US/images/80bb9e36d0c8c6637b0065e91a747361/controlling-access-to-services-service_ena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 service is enabled.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 descr="https://access.redhat.com/webassets/avalon/d/Red_Hat_Enterprise_Linux-6-Deployment_Guide-en-US/images/cd084ab38d4af2206887fe193c8fd19b/controlling-access-to-services-service_disa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ccess.redhat.com/webassets/avalon/d/Red_Hat_Enterprise_Linux-6-Deployment_Guide-en-US/images/cd084ab38d4af2206887fe193c8fd19b/controlling-access-to-services-service_disa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 service is disabled.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5" name="Picture 5" descr="https://access.redhat.com/webassets/avalon/d/Red_Hat_Enterprise_Linux-6-Deployment_Guide-en-US/images/f43c19165c7011b1585b07112608a472/controlling-access-to-services-service_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ccess.redhat.com/webassets/avalon/d/Red_Hat_Enterprise_Linux-6-Deployment_Guide-en-US/images/f43c19165c7011b1585b07112608a472/controlling-access-to-services-service_sel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service is enabled for selected </w:t>
            </w:r>
            <w:proofErr w:type="spellStart"/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runlevels</w:t>
            </w:r>
            <w:proofErr w:type="spellEnd"/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only.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https://access.redhat.com/webassets/avalon/d/Red_Hat_Enterprise_Linux-6-Deployment_Guide-en-US/images/cc3d7d1d25b6f223fbc39db1821ec921/controlling-access-to-services-service_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ccess.redhat.com/webassets/avalon/d/Red_Hat_Enterprise_Linux-6-Deployment_Guide-en-US/images/cc3d7d1d25b6f223fbc39db1821ec921/controlling-access-to-services-service_run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 service is running.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3" name="Picture 3" descr="https://access.redhat.com/webassets/avalon/d/Red_Hat_Enterprise_Linux-6-Deployment_Guide-en-US/images/ede53d29e9c5d6850b44e79a04650b51/controlling-access-to-services-service_st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ccess.redhat.com/webassets/avalon/d/Red_Hat_Enterprise_Linux-6-Deployment_Guide-en-US/images/ede53d29e9c5d6850b44e79a04650b51/controlling-access-to-services-service_st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 service is stopped.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2" name="Picture 2" descr="https://access.redhat.com/webassets/avalon/d/Red_Hat_Enterprise_Linux-6-Deployment_Guide-en-US/images/2cb1bf6313adf2a60773f1659cec39e1/controlling-access-to-services-service_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ccess.redhat.com/webassets/avalon/d/Red_Hat_Enterprise_Linux-6-Deployment_Guide-en-US/images/2cb1bf6313adf2a60773f1659cec39e1/controlling-access-to-services-service_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There is something wrong with the service.</w:t>
            </w:r>
          </w:p>
        </w:tc>
      </w:tr>
      <w:tr w:rsidR="009852FE" w:rsidRPr="009852FE" w:rsidTr="009852FE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nil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1" name="Picture 1" descr="https://access.redhat.com/webassets/avalon/d/Red_Hat_Enterprise_Linux-6-Deployment_Guide-en-US/images/726c8bbcd8f7fbb27843ea31e495565d/controlling-access-to-services-service_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ccess.redhat.com/webassets/avalon/d/Red_Hat_Enterprise_Linux-6-Deployment_Guide-en-US/images/726c8bbcd8f7fbb27843ea31e495565d/controlling-access-to-services-service_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auto"/>
            <w:hideMark/>
          </w:tcPr>
          <w:p w:rsidR="009852FE" w:rsidRPr="009852FE" w:rsidRDefault="009852FE" w:rsidP="009852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852FE">
              <w:rPr>
                <w:rFonts w:ascii="Times New Roman" w:eastAsia="Times New Roman" w:hAnsi="Times New Roman" w:cs="Times New Roman"/>
                <w:sz w:val="21"/>
                <w:szCs w:val="21"/>
              </w:rPr>
              <w:t>The status of the service is unknown.</w:t>
            </w:r>
          </w:p>
        </w:tc>
      </w:tr>
    </w:tbl>
    <w:p w:rsidR="009852FE" w:rsidRPr="009852FE" w:rsidRDefault="009852FE" w:rsidP="009852FE">
      <w:pPr>
        <w:shd w:val="clear" w:color="auto" w:fill="FFFFFF"/>
        <w:spacing w:after="100" w:afterAutospacing="1" w:line="360" w:lineRule="atLeast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r w:rsidRPr="009852FE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12.2.1.1. Enabling and Disabling a Service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enable a service,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Enable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Enable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from the main menu.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disable a service,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Disable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Disable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from the main menu.</w:t>
      </w:r>
    </w:p>
    <w:p w:rsidR="009852FE" w:rsidRPr="009852FE" w:rsidRDefault="009852FE" w:rsidP="009852FE">
      <w:pPr>
        <w:shd w:val="clear" w:color="auto" w:fill="FFFFFF"/>
        <w:spacing w:after="100" w:afterAutospacing="1" w:line="360" w:lineRule="atLeast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r w:rsidRPr="009852FE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12.2.1.2. Starting, Restarting, and Stopping a Service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start a service,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Start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Start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from the main menu. Note that this option is not available for services controlled by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xinetd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as they are started by it on demand.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restart a running service,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Restart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Restart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from the main menu. Note that this option is not available for services controlled by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xinetd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as they are started and stopped by it automatically.</w:t>
      </w:r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To stop a service,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Stop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Stop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from the main menu. Note that this option is not available for services controlled by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xinetd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, as they are stopped by it when their job is finished.</w:t>
      </w:r>
    </w:p>
    <w:p w:rsidR="009852FE" w:rsidRPr="009852FE" w:rsidRDefault="009852FE" w:rsidP="009852FE">
      <w:pPr>
        <w:shd w:val="clear" w:color="auto" w:fill="FFFFFF"/>
        <w:spacing w:after="100" w:afterAutospacing="1" w:line="360" w:lineRule="atLeast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r w:rsidRPr="009852FE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 xml:space="preserve">12.2.1.3. Selecting </w:t>
      </w:r>
      <w:proofErr w:type="spellStart"/>
      <w:r w:rsidRPr="009852FE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Runlevels</w:t>
      </w:r>
      <w:proofErr w:type="spellEnd"/>
    </w:p>
    <w:p w:rsidR="009852FE" w:rsidRPr="009852FE" w:rsidRDefault="009852FE" w:rsidP="009852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52525"/>
          <w:sz w:val="24"/>
          <w:szCs w:val="24"/>
        </w:rPr>
      </w:pP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To enable the service for certain 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runlevels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only, select it from the list and either click the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Customize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button on the toolbar, or choose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Service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 → </w:t>
      </w:r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Customize</w:t>
      </w:r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 from the main menu. Then select the check box beside each </w:t>
      </w:r>
      <w:proofErr w:type="spellStart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runlevel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 xml:space="preserve"> in which you want the service to run. Note that this option is not available for services controlled by </w:t>
      </w:r>
      <w:proofErr w:type="spellStart"/>
      <w:r w:rsidRPr="009852FE">
        <w:rPr>
          <w:rFonts w:ascii="Helvetica" w:eastAsia="Times New Roman" w:hAnsi="Helvetica" w:cs="Helvetica"/>
          <w:b/>
          <w:bCs/>
          <w:color w:val="252525"/>
          <w:sz w:val="24"/>
          <w:szCs w:val="24"/>
        </w:rPr>
        <w:t>xinetd</w:t>
      </w:r>
      <w:proofErr w:type="spellEnd"/>
      <w:r w:rsidRPr="009852FE">
        <w:rPr>
          <w:rFonts w:ascii="Helvetica" w:eastAsia="Times New Roman" w:hAnsi="Helvetica" w:cs="Helvetica"/>
          <w:color w:val="252525"/>
          <w:sz w:val="24"/>
          <w:szCs w:val="24"/>
        </w:rPr>
        <w:t>.</w:t>
      </w:r>
    </w:p>
    <w:p w:rsidR="000A0632" w:rsidRDefault="000A0632"/>
    <w:sectPr w:rsidR="000A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FE"/>
    <w:rsid w:val="000A0632"/>
    <w:rsid w:val="009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985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5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5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52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52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52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2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2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2FE"/>
    <w:rPr>
      <w:color w:val="0000FF"/>
      <w:u w:val="single"/>
    </w:rPr>
  </w:style>
  <w:style w:type="character" w:customStyle="1" w:styleId="package">
    <w:name w:val="package"/>
    <w:basedOn w:val="DefaultParagraphFont"/>
    <w:rsid w:val="009852FE"/>
  </w:style>
  <w:style w:type="paragraph" w:customStyle="1" w:styleId="title">
    <w:name w:val="title"/>
    <w:basedOn w:val="Normal"/>
    <w:rsid w:val="009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985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5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5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52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52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52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2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2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2FE"/>
    <w:rPr>
      <w:color w:val="0000FF"/>
      <w:u w:val="single"/>
    </w:rPr>
  </w:style>
  <w:style w:type="character" w:customStyle="1" w:styleId="package">
    <w:name w:val="package"/>
    <w:basedOn w:val="DefaultParagraphFont"/>
    <w:rsid w:val="009852FE"/>
  </w:style>
  <w:style w:type="paragraph" w:customStyle="1" w:styleId="title">
    <w:name w:val="title"/>
    <w:basedOn w:val="Normal"/>
    <w:rsid w:val="009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078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8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58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4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984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7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37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66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7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1774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473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9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9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4261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72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5850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201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99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589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n-us/red_hat_enterprise_linux/6/html/deployment_guide/s1-services-runni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6/html/deployment_guide/s2-services-chkconfi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ccess.redhat.com/documentation/en-us/red_hat_enterprise_linux/6/html/deployment_guide/s1-services-configu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enterprise_linux/6/html/deployment_guide/s1-services-configu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2019-02-15T09:41:00Z</dcterms:created>
  <dcterms:modified xsi:type="dcterms:W3CDTF">2019-02-15T09:42:00Z</dcterms:modified>
</cp:coreProperties>
</file>