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MedGenie: Privacy-Preserving Clinical Text Annotation Platform</w:t>
        <w:br/>
        <w:t>with LLM Integration</w:t>
      </w:r>
    </w:p>
    <w:p>
      <w:pPr>
        <w:jc w:val="center"/>
      </w:pPr>
      <w:r>
        <w:rPr>
          <w:rFonts w:ascii="Times New Roman" w:hAnsi="Times New Roman"/>
          <w:sz w:val="20"/>
        </w:rPr>
        <w:t>Xiangyu Zeng, MS</w:t>
      </w:r>
      <w:r>
        <w:rPr>
          <w:rFonts w:ascii="Times New Roman" w:hAnsi="Times New Roman"/>
          <w:sz w:val="14"/>
          <w:vertAlign w:val="superscript"/>
        </w:rPr>
        <w:t>1</w:t>
      </w:r>
      <w:r>
        <w:rPr>
          <w:rFonts w:ascii="Times New Roman" w:hAnsi="Times New Roman"/>
          <w:sz w:val="20"/>
        </w:rPr>
        <w:t>, Yanshan Wang, PhD</w:t>
      </w:r>
      <w:r>
        <w:rPr>
          <w:rFonts w:ascii="Times New Roman" w:hAnsi="Times New Roman"/>
          <w:sz w:val="14"/>
          <w:vertAlign w:val="superscript"/>
        </w:rPr>
        <w:t>1</w:t>
      </w:r>
    </w:p>
    <w:p>
      <w:pPr>
        <w:jc w:val="center"/>
      </w:pPr>
      <w:r>
        <w:rPr>
          <w:rFonts w:ascii="Times New Roman" w:hAnsi="Times New Roman"/>
          <w:sz w:val="14"/>
          <w:vertAlign w:val="superscript"/>
        </w:rPr>
        <w:t>1</w:t>
      </w:r>
      <w:r>
        <w:rPr>
          <w:rFonts w:ascii="Times New Roman" w:hAnsi="Times New Roman"/>
          <w:i/>
          <w:sz w:val="18"/>
        </w:rPr>
        <w:t>PittNAIL Lab, Department of Health Information Management, University of Pittsburgh, Pittsburgh, PA, USA</w:t>
      </w:r>
    </w:p>
    <w:p>
      <w:pPr>
        <w:spacing w:before="120"/>
      </w:pPr>
      <w:r>
        <w:rPr>
          <w:rFonts w:ascii="Times New Roman" w:hAnsi="Times New Roman"/>
          <w:b/>
          <w:sz w:val="20"/>
        </w:rPr>
        <w:t>Background</w:t>
      </w:r>
    </w:p>
    <w:p>
      <w:pPr>
        <w:spacing w:before="0"/>
      </w:pPr>
      <w:r>
        <w:rPr>
          <w:rFonts w:ascii="Times New Roman" w:hAnsi="Times New Roman"/>
          <w:b w:val="0"/>
          <w:i w:val="0"/>
          <w:sz w:val="20"/>
        </w:rPr>
        <w:t>Clinical text annotation is foundational to clinical NLP research. Existing open-source tools such as brat and CLAMP often lack integrated pre-annotation capabilities, while commercial platforms (e.g., Label Studio, Generative AI Lab) that incorporate LLMs raise concerns regarding data privacy and regulatory compliance when clinical text containing protected health information (PHI) is processed through cloud-based APIs. We present MedGenie, a modular annotation platform built upon the open-source tool MedTator, combining a clinician-friendly interface with privacy-preserving local LLM integration for secure pre-annotation.</w:t>
      </w:r>
    </w:p>
    <w:p>
      <w:pPr>
        <w:spacing w:before="120"/>
      </w:pPr>
      <w:r>
        <w:rPr>
          <w:rFonts w:ascii="Times New Roman" w:hAnsi="Times New Roman"/>
          <w:b/>
          <w:sz w:val="20"/>
        </w:rPr>
        <w:t>Methods</w:t>
      </w:r>
    </w:p>
    <w:p>
      <w:pPr>
        <w:spacing w:before="0"/>
      </w:pPr>
      <w:r>
        <w:rPr>
          <w:rFonts w:ascii="Times New Roman" w:hAnsi="Times New Roman"/>
          <w:b w:val="0"/>
          <w:i w:val="0"/>
          <w:sz w:val="20"/>
        </w:rPr>
        <w:t xml:space="preserve">MedGenie was built using React, TypeScript, and CodeMirror 6, based upon the open-source tool MedTator. For LLM-assisted pre-annotation, we implemented a three-stage local pipeline (Figure 1): </w:t>
      </w:r>
      <w:r>
        <w:rPr>
          <w:rFonts w:ascii="Times New Roman" w:hAnsi="Times New Roman"/>
          <w:b/>
          <w:i w:val="0"/>
          <w:sz w:val="20"/>
        </w:rPr>
        <w:t>(1) Semantic Recognition</w:t>
      </w:r>
      <w:r>
        <w:rPr>
          <w:rFonts w:ascii="Times New Roman" w:hAnsi="Times New Roman"/>
          <w:b w:val="0"/>
          <w:i w:val="0"/>
          <w:sz w:val="20"/>
        </w:rPr>
        <w:t xml:space="preserve"> — a local LLM via Ollama returns keyword–tag pairs rather than character offsets; </w:t>
      </w:r>
      <w:r>
        <w:rPr>
          <w:rFonts w:ascii="Times New Roman" w:hAnsi="Times New Roman"/>
          <w:b/>
          <w:i w:val="0"/>
          <w:sz w:val="20"/>
        </w:rPr>
        <w:t>(2) Span Localization</w:t>
      </w:r>
      <w:r>
        <w:rPr>
          <w:rFonts w:ascii="Times New Roman" w:hAnsi="Times New Roman"/>
          <w:b w:val="0"/>
          <w:i w:val="0"/>
          <w:sz w:val="20"/>
        </w:rPr>
        <w:t xml:space="preserve"> — regex matching deterministically resolves precise character positions; </w:t>
      </w:r>
      <w:r>
        <w:rPr>
          <w:rFonts w:ascii="Times New Roman" w:hAnsi="Times New Roman"/>
          <w:b/>
          <w:i w:val="0"/>
          <w:sz w:val="20"/>
        </w:rPr>
        <w:t>(3) Negation Filtering</w:t>
      </w:r>
      <w:r>
        <w:rPr>
          <w:rFonts w:ascii="Times New Roman" w:hAnsi="Times New Roman"/>
          <w:b w:val="0"/>
          <w:i w:val="0"/>
          <w:sz w:val="20"/>
        </w:rPr>
        <w:t xml:space="preserve"> — a bidirectional context-window heuristic suppresses annotations in negated contexts. All processing runs entirely on-device.</w:t>
      </w:r>
    </w:p>
    <w:p>
      <w:pPr>
        <w:spacing w:before="160"/>
      </w:pP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
              <w:rPr>
                <w:rFonts w:ascii="Consolas" w:hAnsi="Consolas"/>
                <w:sz w:val="14"/>
              </w:rPr>
              <w:t>Clinical</w:t>
              <w:br/>
              <w:t>Text +</w:t>
              <w:br/>
              <w:t>Schema</w:t>
            </w:r>
          </w:p>
        </w:tc>
        <w:tc>
          <w:tcPr>
            <w:tcW w:type="dxa" w:w="1337"/>
            <w:tcBorders>
              <w:top w:val="none" w:sz="0" w:space="0" w:color="auto"/>
              <w:left w:val="none" w:sz="0" w:space="0" w:color="auto"/>
              <w:bottom w:val="none" w:sz="0" w:space="0" w:color="auto"/>
              <w:right w:val="none" w:sz="0" w:space="0" w:color="auto"/>
            </w:tcBorders>
          </w:tcPr>
          <w:p>
            <w:pPr>
              <w:jc w:val="center"/>
            </w:pPr>
            <w:r/>
            <w:r>
              <w:rPr>
                <w:rFonts w:ascii="Consolas" w:hAnsi="Consolas"/>
                <w:sz w:val="24"/>
              </w:rPr>
              <w:t>→</w:t>
            </w:r>
          </w:p>
        </w:tc>
        <w:tc>
          <w:tcPr>
            <w:tcW w:type="dxa" w:w="1337"/>
          </w:tcPr>
          <w:p>
            <w:pPr>
              <w:jc w:val="center"/>
            </w:pPr>
            <w:r/>
            <w:r>
              <w:rPr>
                <w:rFonts w:ascii="Consolas" w:hAnsi="Consolas"/>
                <w:sz w:val="14"/>
              </w:rPr>
              <w:t>Local LLM</w:t>
              <w:br/>
              <w:t>(Ollama)</w:t>
              <w:br/>
              <w:t>on-device</w:t>
            </w:r>
          </w:p>
        </w:tc>
        <w:tc>
          <w:tcPr>
            <w:tcW w:type="dxa" w:w="1337"/>
            <w:tcBorders>
              <w:top w:val="none" w:sz="0" w:space="0" w:color="auto"/>
              <w:left w:val="none" w:sz="0" w:space="0" w:color="auto"/>
              <w:bottom w:val="none" w:sz="0" w:space="0" w:color="auto"/>
              <w:right w:val="none" w:sz="0" w:space="0" w:color="auto"/>
            </w:tcBorders>
          </w:tcPr>
          <w:p>
            <w:pPr>
              <w:jc w:val="center"/>
            </w:pPr>
            <w:r/>
            <w:r>
              <w:rPr>
                <w:rFonts w:ascii="Consolas" w:hAnsi="Consolas"/>
                <w:sz w:val="24"/>
              </w:rPr>
              <w:t>→</w:t>
            </w:r>
          </w:p>
        </w:tc>
        <w:tc>
          <w:tcPr>
            <w:tcW w:type="dxa" w:w="1337"/>
          </w:tcPr>
          <w:p>
            <w:pPr>
              <w:jc w:val="center"/>
            </w:pPr>
            <w:r/>
            <w:r>
              <w:rPr>
                <w:rFonts w:ascii="Consolas" w:hAnsi="Consolas"/>
                <w:sz w:val="14"/>
              </w:rPr>
              <w:t>Regex Span</w:t>
              <w:br/>
              <w:t>Localization</w:t>
              <w:br/>
              <w:t>(deterministic)</w:t>
            </w:r>
          </w:p>
        </w:tc>
        <w:tc>
          <w:tcPr>
            <w:tcW w:type="dxa" w:w="1337"/>
            <w:tcBorders>
              <w:top w:val="none" w:sz="0" w:space="0" w:color="auto"/>
              <w:left w:val="none" w:sz="0" w:space="0" w:color="auto"/>
              <w:bottom w:val="none" w:sz="0" w:space="0" w:color="auto"/>
              <w:right w:val="none" w:sz="0" w:space="0" w:color="auto"/>
            </w:tcBorders>
          </w:tcPr>
          <w:p>
            <w:pPr>
              <w:jc w:val="center"/>
            </w:pPr>
            <w:r/>
            <w:r>
              <w:rPr>
                <w:rFonts w:ascii="Consolas" w:hAnsi="Consolas"/>
                <w:sz w:val="24"/>
              </w:rPr>
              <w:t>→</w:t>
            </w:r>
          </w:p>
        </w:tc>
        <w:tc>
          <w:tcPr>
            <w:tcW w:type="dxa" w:w="1337"/>
          </w:tcPr>
          <w:p>
            <w:pPr>
              <w:jc w:val="center"/>
            </w:pPr>
            <w:r/>
            <w:r>
              <w:rPr>
                <w:rFonts w:ascii="Consolas" w:hAnsi="Consolas"/>
                <w:sz w:val="14"/>
              </w:rPr>
              <w:t>Negation</w:t>
              <w:br/>
              <w:t>Filter</w:t>
              <w:br/>
              <w:t>(60/30-char)</w:t>
            </w:r>
          </w:p>
        </w:tc>
      </w:tr>
      <w:tr>
        <w:tc>
          <w:tcPr>
            <w:tcW w:type="dxa" w:w="1337"/>
          </w:tcPr>
          <w:p>
            <w:pPr>
              <w:jc w:val="center"/>
            </w:pPr>
            <w:r/>
            <w:r>
              <w:rPr>
                <w:rFonts w:ascii="Consolas" w:hAnsi="Consolas"/>
                <w:color w:val="646464"/>
                <w:sz w:val="13"/>
              </w:rPr>
            </w:r>
          </w:p>
        </w:tc>
        <w:tc>
          <w:tcPr>
            <w:tcW w:type="dxa" w:w="1337"/>
            <w:tcBorders>
              <w:top w:val="none" w:sz="0" w:space="0" w:color="auto"/>
              <w:left w:val="none" w:sz="0" w:space="0" w:color="auto"/>
              <w:bottom w:val="none" w:sz="0" w:space="0" w:color="auto"/>
              <w:right w:val="none" w:sz="0" w:space="0" w:color="auto"/>
            </w:tcBorders>
          </w:tcPr>
          <w:p>
            <w:pPr>
              <w:jc w:val="center"/>
            </w:pPr>
            <w:r/>
            <w:r>
              <w:rPr>
                <w:rFonts w:ascii="Consolas" w:hAnsi="Consolas"/>
                <w:color w:val="646464"/>
                <w:sz w:val="13"/>
              </w:rPr>
            </w:r>
          </w:p>
        </w:tc>
        <w:tc>
          <w:tcPr>
            <w:tcW w:type="dxa" w:w="1337"/>
          </w:tcPr>
          <w:p>
            <w:pPr>
              <w:jc w:val="center"/>
            </w:pPr>
            <w:r/>
            <w:r>
              <w:rPr>
                <w:rFonts w:ascii="Consolas" w:hAnsi="Consolas"/>
                <w:color w:val="646464"/>
                <w:sz w:val="13"/>
              </w:rPr>
              <w:t>semantic only</w:t>
              <w:br/>
              <w:t>{keyword, tag}</w:t>
            </w:r>
          </w:p>
        </w:tc>
        <w:tc>
          <w:tcPr>
            <w:tcW w:type="dxa" w:w="1337"/>
            <w:tcBorders>
              <w:top w:val="none" w:sz="0" w:space="0" w:color="auto"/>
              <w:left w:val="none" w:sz="0" w:space="0" w:color="auto"/>
              <w:bottom w:val="none" w:sz="0" w:space="0" w:color="auto"/>
              <w:right w:val="none" w:sz="0" w:space="0" w:color="auto"/>
            </w:tcBorders>
          </w:tcPr>
          <w:p>
            <w:pPr>
              <w:jc w:val="center"/>
            </w:pPr>
            <w:r/>
            <w:r>
              <w:rPr>
                <w:rFonts w:ascii="Consolas" w:hAnsi="Consolas"/>
                <w:color w:val="646464"/>
                <w:sz w:val="13"/>
              </w:rPr>
            </w:r>
          </w:p>
        </w:tc>
        <w:tc>
          <w:tcPr>
            <w:tcW w:type="dxa" w:w="1337"/>
          </w:tcPr>
          <w:p>
            <w:pPr>
              <w:jc w:val="center"/>
            </w:pPr>
            <w:r/>
            <w:r>
              <w:rPr>
                <w:rFonts w:ascii="Consolas" w:hAnsi="Consolas"/>
                <w:color w:val="646464"/>
                <w:sz w:val="13"/>
              </w:rPr>
              <w:t>\b...\b → [s,e]</w:t>
              <w:br/>
              <w:t>exact offset</w:t>
            </w:r>
          </w:p>
        </w:tc>
        <w:tc>
          <w:tcPr>
            <w:tcW w:type="dxa" w:w="1337"/>
            <w:tcBorders>
              <w:top w:val="none" w:sz="0" w:space="0" w:color="auto"/>
              <w:left w:val="none" w:sz="0" w:space="0" w:color="auto"/>
              <w:bottom w:val="none" w:sz="0" w:space="0" w:color="auto"/>
              <w:right w:val="none" w:sz="0" w:space="0" w:color="auto"/>
            </w:tcBorders>
          </w:tcPr>
          <w:p>
            <w:pPr>
              <w:jc w:val="center"/>
            </w:pPr>
            <w:r/>
            <w:r>
              <w:rPr>
                <w:rFonts w:ascii="Consolas" w:hAnsi="Consolas"/>
                <w:color w:val="646464"/>
                <w:sz w:val="13"/>
              </w:rPr>
            </w:r>
          </w:p>
        </w:tc>
        <w:tc>
          <w:tcPr>
            <w:tcW w:type="dxa" w:w="1337"/>
          </w:tcPr>
          <w:p>
            <w:pPr>
              <w:jc w:val="center"/>
            </w:pPr>
            <w:r/>
            <w:r>
              <w:rPr>
                <w:rFonts w:ascii="Consolas" w:hAnsi="Consolas"/>
                <w:color w:val="646464"/>
                <w:sz w:val="13"/>
              </w:rPr>
              <w:t>bidirectional</w:t>
              <w:br/>
              <w:t>context window</w:t>
            </w:r>
          </w:p>
        </w:tc>
      </w:tr>
      <w:tr>
        <w:tc>
          <w:tcPr>
            <w:tcW w:type="dxa" w:w="9359"/>
            <w:gridSpan w:val="7"/>
            <w:tcBorders>
              <w:top w:val="none" w:sz="0" w:space="0" w:color="auto"/>
              <w:left w:val="none" w:sz="0" w:space="0" w:color="auto"/>
              <w:bottom w:val="none" w:sz="0" w:space="0" w:color="auto"/>
              <w:right w:val="none" w:sz="0" w:space="0" w:color="auto"/>
            </w:tcBorders>
          </w:tcPr>
          <w:p>
            <w:pPr>
              <w:jc w:val="right"/>
            </w:pPr>
            <w:r>
              <w:rPr>
                <w:rFonts w:ascii="Consolas" w:hAnsi="Consolas"/>
                <w:b/>
                <w:sz w:val="14"/>
              </w:rPr>
              <w:t>→  Pre-annotations loaded into Annotation Editor</w:t>
            </w:r>
          </w:p>
        </w:tc>
      </w:tr>
    </w:tbl>
    <w:p>
      <w:pPr>
        <w:spacing w:before="40"/>
        <w:jc w:val="center"/>
      </w:pPr>
      <w:r>
        <w:rPr>
          <w:rFonts w:ascii="Times New Roman" w:hAnsi="Times New Roman"/>
          <w:b/>
          <w:sz w:val="18"/>
        </w:rPr>
        <w:t xml:space="preserve">Figure 1. </w:t>
      </w:r>
      <w:r>
        <w:rPr>
          <w:rFonts w:ascii="Times New Roman" w:hAnsi="Times New Roman"/>
          <w:sz w:val="18"/>
        </w:rPr>
        <w:t>Local LLM annotation pipeline. The model provides only keyword–tag pairs; span positions and negation filtering are resolved deterministically on-device.</w:t>
      </w:r>
    </w:p>
    <w:p>
      <w:pPr>
        <w:spacing w:before="160"/>
        <w:jc w:val="center"/>
      </w:pPr>
      <w:r>
        <w:rPr>
          <w:rFonts w:ascii="Times New Roman" w:hAnsi="Times New Roman"/>
          <w:i/>
          <w:color w:val="969696"/>
          <w:sz w:val="18"/>
        </w:rPr>
        <w:t>[Figure 2. Screenshot placeholders — insert app screenshots here]</w:t>
      </w:r>
    </w:p>
    <w:p>
      <w:pPr>
        <w:spacing w:before="120"/>
      </w:pPr>
      <w:r>
        <w:rPr>
          <w:rFonts w:ascii="Times New Roman" w:hAnsi="Times New Roman"/>
          <w:b/>
          <w:sz w:val="20"/>
        </w:rPr>
        <w:t>Results</w:t>
      </w:r>
    </w:p>
    <w:p>
      <w:pPr>
        <w:spacing w:before="0"/>
      </w:pPr>
      <w:r>
        <w:rPr>
          <w:rFonts w:ascii="Times New Roman" w:hAnsi="Times New Roman"/>
          <w:b w:val="0"/>
          <w:i w:val="0"/>
          <w:sz w:val="20"/>
        </w:rPr>
        <w:t xml:space="preserve">MedGenie reproduces all core annotation features of MedTator, including entity/relation annotation, schema editing, IAA with Cohen’s Kappa, multi-format export, and annotation visualization. </w:t>
      </w:r>
      <w:r>
        <w:rPr>
          <w:rFonts w:ascii="Times New Roman" w:hAnsi="Times New Roman"/>
          <w:b w:val="0"/>
          <w:i w:val="0"/>
          <w:sz w:val="20"/>
        </w:rPr>
        <w:t xml:space="preserve">We validated the LLM pipeline on 20 COVID-19 adverse event reports from VAERS against a 17-tag gold standard using qwen3:8b via Ollama. Key findings: (1) per-tag semantic descriptions in the prompt substantially improved recall for non-intuitive mappings (e.g., </w:t>
      </w:r>
      <w:r>
        <w:rPr>
          <w:rFonts w:ascii="Times New Roman" w:hAnsi="Times New Roman"/>
          <w:b w:val="0"/>
          <w:i/>
          <w:sz w:val="20"/>
        </w:rPr>
        <w:t>"swollen" → Myalgia</w:t>
      </w:r>
      <w:r>
        <w:rPr>
          <w:rFonts w:ascii="Times New Roman" w:hAnsi="Times New Roman"/>
          <w:b w:val="0"/>
          <w:i w:val="0"/>
          <w:sz w:val="20"/>
        </w:rPr>
        <w:t xml:space="preserve">); (2) short-keyword constraint with overlap deduplication effectively reduced false positives; (3) negation filtering suppressed spurious annotations (e.g., </w:t>
      </w:r>
      <w:r>
        <w:rPr>
          <w:rFonts w:ascii="Times New Roman" w:hAnsi="Times New Roman"/>
          <w:b w:val="0"/>
          <w:i/>
          <w:sz w:val="20"/>
        </w:rPr>
        <w:t>"denies chest pain"</w:t>
      </w:r>
      <w:r>
        <w:rPr>
          <w:rFonts w:ascii="Times New Roman" w:hAnsi="Times New Roman"/>
          <w:b w:val="0"/>
          <w:i w:val="0"/>
          <w:sz w:val="20"/>
        </w:rPr>
        <w:t>) while preserving true positives in affirmative clauses. These findings directly shaped the final pipeline design.</w:t>
      </w:r>
    </w:p>
    <w:p>
      <w:pPr>
        <w:spacing w:before="120"/>
      </w:pPr>
      <w:r>
        <w:rPr>
          <w:rFonts w:ascii="Times New Roman" w:hAnsi="Times New Roman"/>
          <w:b/>
          <w:sz w:val="20"/>
        </w:rPr>
        <w:t>Conclusion</w:t>
      </w:r>
    </w:p>
    <w:p>
      <w:pPr>
        <w:spacing w:before="0"/>
      </w:pPr>
      <w:r>
        <w:rPr>
          <w:rFonts w:ascii="Times New Roman" w:hAnsi="Times New Roman"/>
          <w:b w:val="0"/>
          <w:i w:val="0"/>
          <w:sz w:val="20"/>
        </w:rPr>
        <w:t>By decoupling keyword extraction from span resolution and applying rule-based negation filtering, MedGenie provides LLM-assisted pre-annotation while keeping all clinical data on-device. The platform is being prepared for Electron-based desktop packaging to enable fully offline clinical annotation workflows. Source code is publicly available at https://github.com/PittNAIL/MedTator.git.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