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339D" w14:textId="09FB3997" w:rsidR="00D00C37" w:rsidRDefault="003B188C" w:rsidP="003B188C">
      <w:pPr>
        <w:jc w:val="center"/>
        <w:rPr>
          <w:b/>
          <w:bCs/>
          <w:sz w:val="44"/>
          <w:szCs w:val="44"/>
        </w:rPr>
      </w:pPr>
      <w:r w:rsidRPr="003B188C">
        <w:rPr>
          <w:b/>
          <w:bCs/>
          <w:sz w:val="44"/>
          <w:szCs w:val="44"/>
        </w:rPr>
        <w:t>RTM (Requirement Traceability Matrix)</w:t>
      </w:r>
    </w:p>
    <w:p w14:paraId="12EB2A4A" w14:textId="77777777" w:rsidR="003B188C" w:rsidRPr="003B188C" w:rsidRDefault="003B188C" w:rsidP="003B188C">
      <w:pPr>
        <w:jc w:val="center"/>
        <w:rPr>
          <w:b/>
          <w:bCs/>
          <w:sz w:val="44"/>
          <w:szCs w:val="44"/>
        </w:rPr>
      </w:pPr>
    </w:p>
    <w:tbl>
      <w:tblPr>
        <w:tblStyle w:val="GridTable1Light"/>
        <w:tblW w:w="9661" w:type="dxa"/>
        <w:tblLook w:val="04A0" w:firstRow="1" w:lastRow="0" w:firstColumn="1" w:lastColumn="0" w:noHBand="0" w:noVBand="1"/>
      </w:tblPr>
      <w:tblGrid>
        <w:gridCol w:w="565"/>
        <w:gridCol w:w="1498"/>
        <w:gridCol w:w="565"/>
        <w:gridCol w:w="1440"/>
        <w:gridCol w:w="1801"/>
        <w:gridCol w:w="2548"/>
        <w:gridCol w:w="1244"/>
      </w:tblGrid>
      <w:tr w:rsidR="00D00C37" w:rsidRPr="00D00C37" w14:paraId="6791C22B" w14:textId="77777777" w:rsidTr="003B1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3035F13E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 ID</w:t>
            </w:r>
          </w:p>
        </w:tc>
        <w:tc>
          <w:tcPr>
            <w:tcW w:w="1498" w:type="dxa"/>
            <w:hideMark/>
          </w:tcPr>
          <w:p w14:paraId="20749DE2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Business Requirement</w:t>
            </w:r>
          </w:p>
        </w:tc>
        <w:tc>
          <w:tcPr>
            <w:tcW w:w="565" w:type="dxa"/>
            <w:hideMark/>
          </w:tcPr>
          <w:p w14:paraId="34D9B015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 ID</w:t>
            </w:r>
          </w:p>
        </w:tc>
        <w:tc>
          <w:tcPr>
            <w:tcW w:w="0" w:type="auto"/>
            <w:hideMark/>
          </w:tcPr>
          <w:p w14:paraId="1E44EC53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Functional Requirement</w:t>
            </w:r>
          </w:p>
        </w:tc>
        <w:tc>
          <w:tcPr>
            <w:tcW w:w="1801" w:type="dxa"/>
            <w:hideMark/>
          </w:tcPr>
          <w:p w14:paraId="552AE5B2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Key Finding</w:t>
            </w:r>
          </w:p>
        </w:tc>
        <w:tc>
          <w:tcPr>
            <w:tcW w:w="2548" w:type="dxa"/>
            <w:hideMark/>
          </w:tcPr>
          <w:p w14:paraId="69BACAAF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Recommendation</w:t>
            </w:r>
          </w:p>
        </w:tc>
        <w:tc>
          <w:tcPr>
            <w:tcW w:w="0" w:type="auto"/>
            <w:hideMark/>
          </w:tcPr>
          <w:p w14:paraId="3DFE806E" w14:textId="77777777" w:rsidR="00D00C37" w:rsidRPr="00D00C37" w:rsidRDefault="00D00C37" w:rsidP="00D00C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Dashboard Page</w:t>
            </w:r>
          </w:p>
        </w:tc>
      </w:tr>
      <w:tr w:rsidR="00D00C37" w:rsidRPr="00D00C37" w14:paraId="3F2785D7" w14:textId="77777777" w:rsidTr="003B188C">
        <w:trPr>
          <w:trHeight w:val="1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5DD2CD07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BR-001</w:t>
            </w:r>
          </w:p>
        </w:tc>
        <w:tc>
          <w:tcPr>
            <w:tcW w:w="1498" w:type="dxa"/>
            <w:hideMark/>
          </w:tcPr>
          <w:p w14:paraId="7B106479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concentration by segment</w:t>
            </w:r>
          </w:p>
        </w:tc>
        <w:tc>
          <w:tcPr>
            <w:tcW w:w="565" w:type="dxa"/>
            <w:hideMark/>
          </w:tcPr>
          <w:p w14:paraId="3EEB7B7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FR-001</w:t>
            </w:r>
          </w:p>
        </w:tc>
        <w:tc>
          <w:tcPr>
            <w:tcW w:w="0" w:type="auto"/>
            <w:hideMark/>
          </w:tcPr>
          <w:p w14:paraId="6AECEB88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Segment fraud analysis</w:t>
            </w:r>
          </w:p>
        </w:tc>
        <w:tc>
          <w:tcPr>
            <w:tcW w:w="1801" w:type="dxa"/>
            <w:hideMark/>
          </w:tcPr>
          <w:p w14:paraId="1E14B60C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Standard segment: -£185 revenue shortfall; elevated fraud</w:t>
            </w:r>
          </w:p>
        </w:tc>
        <w:tc>
          <w:tcPr>
            <w:tcW w:w="2548" w:type="dxa"/>
            <w:hideMark/>
          </w:tcPr>
          <w:p w14:paraId="1B98A4B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Tailor risk controls by segment; increase Standard customer scrutiny</w:t>
            </w:r>
          </w:p>
        </w:tc>
        <w:tc>
          <w:tcPr>
            <w:tcW w:w="0" w:type="auto"/>
            <w:hideMark/>
          </w:tcPr>
          <w:p w14:paraId="49F46084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&amp; Revenue Analysis</w:t>
            </w:r>
          </w:p>
        </w:tc>
      </w:tr>
      <w:tr w:rsidR="00D00C37" w:rsidRPr="00D00C37" w14:paraId="5392262D" w14:textId="77777777" w:rsidTr="003B188C">
        <w:trPr>
          <w:trHeight w:val="1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6A46536F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BR-002</w:t>
            </w:r>
          </w:p>
        </w:tc>
        <w:tc>
          <w:tcPr>
            <w:tcW w:w="1498" w:type="dxa"/>
            <w:hideMark/>
          </w:tcPr>
          <w:p w14:paraId="26FBAA5C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concentration by region</w:t>
            </w:r>
          </w:p>
        </w:tc>
        <w:tc>
          <w:tcPr>
            <w:tcW w:w="565" w:type="dxa"/>
            <w:hideMark/>
          </w:tcPr>
          <w:p w14:paraId="1FC34784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FR-002</w:t>
            </w:r>
          </w:p>
        </w:tc>
        <w:tc>
          <w:tcPr>
            <w:tcW w:w="0" w:type="auto"/>
            <w:hideMark/>
          </w:tcPr>
          <w:p w14:paraId="219B605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Regional fraud analysis</w:t>
            </w:r>
          </w:p>
        </w:tc>
        <w:tc>
          <w:tcPr>
            <w:tcW w:w="1801" w:type="dxa"/>
            <w:hideMark/>
          </w:tcPr>
          <w:p w14:paraId="60CC4EE2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London: 60% of fraud events; Midlands: 33%</w:t>
            </w:r>
          </w:p>
        </w:tc>
        <w:tc>
          <w:tcPr>
            <w:tcW w:w="2548" w:type="dxa"/>
            <w:hideMark/>
          </w:tcPr>
          <w:p w14:paraId="18FB2D6A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Deploy fraud detection in London/Midlands; regional velocity limits</w:t>
            </w:r>
          </w:p>
        </w:tc>
        <w:tc>
          <w:tcPr>
            <w:tcW w:w="0" w:type="auto"/>
            <w:hideMark/>
          </w:tcPr>
          <w:p w14:paraId="7709F1E7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Risk Drivers &amp; Hotspots</w:t>
            </w:r>
          </w:p>
        </w:tc>
      </w:tr>
      <w:tr w:rsidR="00D00C37" w:rsidRPr="00D00C37" w14:paraId="133D7931" w14:textId="77777777" w:rsidTr="003B188C">
        <w:trPr>
          <w:trHeight w:val="2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28CF5E8C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BR-003</w:t>
            </w:r>
          </w:p>
        </w:tc>
        <w:tc>
          <w:tcPr>
            <w:tcW w:w="1498" w:type="dxa"/>
            <w:hideMark/>
          </w:tcPr>
          <w:p w14:paraId="366ADE4D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Quantify fraud exposure</w:t>
            </w:r>
          </w:p>
        </w:tc>
        <w:tc>
          <w:tcPr>
            <w:tcW w:w="565" w:type="dxa"/>
            <w:hideMark/>
          </w:tcPr>
          <w:p w14:paraId="3CDF07B7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FR-003</w:t>
            </w:r>
          </w:p>
        </w:tc>
        <w:tc>
          <w:tcPr>
            <w:tcW w:w="0" w:type="auto"/>
            <w:hideMark/>
          </w:tcPr>
          <w:p w14:paraId="5337C5D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exposure analysis</w:t>
            </w:r>
          </w:p>
        </w:tc>
        <w:tc>
          <w:tcPr>
            <w:tcW w:w="1801" w:type="dxa"/>
            <w:hideMark/>
          </w:tcPr>
          <w:p w14:paraId="1DAE3C40" w14:textId="31BD3168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Total: £1.5M+ exposure</w:t>
            </w:r>
            <w:r w:rsidRPr="00D00C37">
              <w:t xml:space="preserve"> Customer 20: £1.1M (repeat offender) Top 5 customers: 70% of exposure</w:t>
            </w:r>
          </w:p>
        </w:tc>
        <w:tc>
          <w:tcPr>
            <w:tcW w:w="2548" w:type="dxa"/>
            <w:hideMark/>
          </w:tcPr>
          <w:p w14:paraId="404A26FC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Immediate:</w:t>
            </w:r>
            <w:r w:rsidRPr="00D00C37">
              <w:t xml:space="preserve"> Implement fraud detection for repeat offenders; escalate Customer 20 for enhanced KYC/AML</w:t>
            </w:r>
          </w:p>
        </w:tc>
        <w:tc>
          <w:tcPr>
            <w:tcW w:w="0" w:type="auto"/>
            <w:hideMark/>
          </w:tcPr>
          <w:p w14:paraId="77C6732D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Customer Risk Analysis</w:t>
            </w:r>
          </w:p>
        </w:tc>
      </w:tr>
      <w:tr w:rsidR="00D00C37" w:rsidRPr="00D00C37" w14:paraId="53AEF74E" w14:textId="77777777" w:rsidTr="003B188C">
        <w:trPr>
          <w:trHeight w:val="29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385EF962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BR-004</w:t>
            </w:r>
          </w:p>
        </w:tc>
        <w:tc>
          <w:tcPr>
            <w:tcW w:w="1498" w:type="dxa"/>
            <w:hideMark/>
          </w:tcPr>
          <w:p w14:paraId="2E92015D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Detect revenue leakage</w:t>
            </w:r>
          </w:p>
        </w:tc>
        <w:tc>
          <w:tcPr>
            <w:tcW w:w="565" w:type="dxa"/>
            <w:hideMark/>
          </w:tcPr>
          <w:p w14:paraId="324B21AE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FR-004</w:t>
            </w:r>
          </w:p>
        </w:tc>
        <w:tc>
          <w:tcPr>
            <w:tcW w:w="0" w:type="auto"/>
            <w:hideMark/>
          </w:tcPr>
          <w:p w14:paraId="0757E25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Revenue leakage analysis</w:t>
            </w:r>
          </w:p>
        </w:tc>
        <w:tc>
          <w:tcPr>
            <w:tcW w:w="1801" w:type="dxa"/>
            <w:hideMark/>
          </w:tcPr>
          <w:p w14:paraId="5192B3B7" w14:textId="255809F1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Intl Transfers: £399.61 leakage (fee calc mismatch)</w:t>
            </w:r>
            <w:r w:rsidR="003B188C">
              <w:t xml:space="preserve"> </w:t>
            </w:r>
            <w:r w:rsidRPr="00D00C37">
              <w:t>Cross-Border: £167.34 (exchange fee error) Total: £900+</w:t>
            </w:r>
          </w:p>
        </w:tc>
        <w:tc>
          <w:tcPr>
            <w:tcW w:w="2548" w:type="dxa"/>
            <w:hideMark/>
          </w:tcPr>
          <w:p w14:paraId="04054F59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Audit international transaction fee logic; implement automated reconciliation</w:t>
            </w:r>
          </w:p>
        </w:tc>
        <w:tc>
          <w:tcPr>
            <w:tcW w:w="0" w:type="auto"/>
            <w:hideMark/>
          </w:tcPr>
          <w:p w14:paraId="5AC1B0F8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Revenue Leakage Dashboard</w:t>
            </w:r>
          </w:p>
        </w:tc>
      </w:tr>
      <w:tr w:rsidR="00D00C37" w:rsidRPr="00D00C37" w14:paraId="4BB460DA" w14:textId="77777777" w:rsidTr="003B188C">
        <w:trPr>
          <w:trHeight w:val="2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7A5243AC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BR-005</w:t>
            </w:r>
          </w:p>
        </w:tc>
        <w:tc>
          <w:tcPr>
            <w:tcW w:w="1498" w:type="dxa"/>
            <w:hideMark/>
          </w:tcPr>
          <w:p w14:paraId="40FB239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Compare actual vs expected revenue</w:t>
            </w:r>
          </w:p>
        </w:tc>
        <w:tc>
          <w:tcPr>
            <w:tcW w:w="565" w:type="dxa"/>
            <w:hideMark/>
          </w:tcPr>
          <w:p w14:paraId="7D91D08A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FR-005</w:t>
            </w:r>
          </w:p>
        </w:tc>
        <w:tc>
          <w:tcPr>
            <w:tcW w:w="0" w:type="auto"/>
            <w:hideMark/>
          </w:tcPr>
          <w:p w14:paraId="5DFA392A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Revenue performance analysis</w:t>
            </w:r>
          </w:p>
        </w:tc>
        <w:tc>
          <w:tcPr>
            <w:tcW w:w="1801" w:type="dxa"/>
            <w:hideMark/>
          </w:tcPr>
          <w:p w14:paraId="636FE3FC" w14:textId="1102BBB1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 xml:space="preserve">Business segment: +£78.50 surplus </w:t>
            </w:r>
            <w:r w:rsidRPr="00D00C37">
              <w:rPr>
                <w:rFonts w:ascii="Segoe UI Emoji" w:hAnsi="Segoe UI Emoji" w:cs="Segoe UI Emoji"/>
              </w:rPr>
              <w:t>✅</w:t>
            </w:r>
            <w:r w:rsidRPr="00D00C37">
              <w:t>Standard segment: -</w:t>
            </w:r>
            <w:r w:rsidRPr="00D00C37">
              <w:rPr>
                <w:rFonts w:ascii="Calibri" w:hAnsi="Calibri" w:cs="Calibri"/>
              </w:rPr>
              <w:t>£</w:t>
            </w:r>
            <w:r w:rsidRPr="00D00C37">
              <w:t xml:space="preserve">185 shortfall </w:t>
            </w:r>
            <w:r w:rsidRPr="00D00C37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2548" w:type="dxa"/>
            <w:hideMark/>
          </w:tcPr>
          <w:p w14:paraId="568A31AF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Review Standard segment pricing; expand Business segment model</w:t>
            </w:r>
          </w:p>
        </w:tc>
        <w:tc>
          <w:tcPr>
            <w:tcW w:w="0" w:type="auto"/>
            <w:hideMark/>
          </w:tcPr>
          <w:p w14:paraId="0EA0D91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&amp; Revenue Analysis</w:t>
            </w:r>
          </w:p>
        </w:tc>
      </w:tr>
      <w:tr w:rsidR="00D00C37" w:rsidRPr="00D00C37" w14:paraId="35C1B96B" w14:textId="77777777" w:rsidTr="003B188C">
        <w:trPr>
          <w:trHeight w:val="1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61F478D0" w14:textId="77777777" w:rsidR="00D00C37" w:rsidRPr="00D00C37" w:rsidRDefault="00D00C37" w:rsidP="00D00C37">
            <w:pPr>
              <w:spacing w:after="160" w:line="259" w:lineRule="auto"/>
            </w:pPr>
            <w:r w:rsidRPr="00D00C37">
              <w:lastRenderedPageBreak/>
              <w:t>BR-006</w:t>
            </w:r>
          </w:p>
        </w:tc>
        <w:tc>
          <w:tcPr>
            <w:tcW w:w="1498" w:type="dxa"/>
            <w:hideMark/>
          </w:tcPr>
          <w:p w14:paraId="7ACBB9CC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Identify highest-risk customers</w:t>
            </w:r>
          </w:p>
        </w:tc>
        <w:tc>
          <w:tcPr>
            <w:tcW w:w="565" w:type="dxa"/>
            <w:hideMark/>
          </w:tcPr>
          <w:p w14:paraId="74A3B91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FR-006</w:t>
            </w:r>
          </w:p>
        </w:tc>
        <w:tc>
          <w:tcPr>
            <w:tcW w:w="0" w:type="auto"/>
            <w:hideMark/>
          </w:tcPr>
          <w:p w14:paraId="47FFF262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Customer risk analysis</w:t>
            </w:r>
          </w:p>
        </w:tc>
        <w:tc>
          <w:tcPr>
            <w:tcW w:w="1801" w:type="dxa"/>
            <w:hideMark/>
          </w:tcPr>
          <w:p w14:paraId="41026368" w14:textId="148E1ADA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Customer 20: £1.1M fraud Top 5 customers: 70% of fraud</w:t>
            </w:r>
          </w:p>
        </w:tc>
        <w:tc>
          <w:tcPr>
            <w:tcW w:w="2548" w:type="dxa"/>
            <w:hideMark/>
          </w:tcPr>
          <w:p w14:paraId="13AC6367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Flag repeat offenders; create customer risk scoring model</w:t>
            </w:r>
          </w:p>
        </w:tc>
        <w:tc>
          <w:tcPr>
            <w:tcW w:w="0" w:type="auto"/>
            <w:hideMark/>
          </w:tcPr>
          <w:p w14:paraId="576E18FE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Customer Risk Analysis</w:t>
            </w:r>
          </w:p>
        </w:tc>
      </w:tr>
      <w:tr w:rsidR="00D00C37" w:rsidRPr="00D00C37" w14:paraId="1F9DAB75" w14:textId="77777777" w:rsidTr="003B188C">
        <w:trPr>
          <w:trHeight w:val="1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63F2FBFC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BR-007</w:t>
            </w:r>
          </w:p>
        </w:tc>
        <w:tc>
          <w:tcPr>
            <w:tcW w:w="1498" w:type="dxa"/>
            <w:hideMark/>
          </w:tcPr>
          <w:p w14:paraId="7BB9E2A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Evaluate merchant risk</w:t>
            </w:r>
          </w:p>
        </w:tc>
        <w:tc>
          <w:tcPr>
            <w:tcW w:w="565" w:type="dxa"/>
            <w:hideMark/>
          </w:tcPr>
          <w:p w14:paraId="25387D3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FR-007</w:t>
            </w:r>
          </w:p>
        </w:tc>
        <w:tc>
          <w:tcPr>
            <w:tcW w:w="0" w:type="auto"/>
            <w:hideMark/>
          </w:tcPr>
          <w:p w14:paraId="0328F73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Merchant risk analysis</w:t>
            </w:r>
          </w:p>
        </w:tc>
        <w:tc>
          <w:tcPr>
            <w:tcW w:w="1801" w:type="dxa"/>
            <w:hideMark/>
          </w:tcPr>
          <w:p w14:paraId="55A07DA0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Fuel merchants: 31.33% fraud rate, 72:1 fraud-to-revenue ratio</w:t>
            </w:r>
          </w:p>
        </w:tc>
        <w:tc>
          <w:tcPr>
            <w:tcW w:w="2548" w:type="dxa"/>
            <w:hideMark/>
          </w:tcPr>
          <w:p w14:paraId="0900470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Suspend/restrict high-risk Fuel merchants; reassess merchant categories</w:t>
            </w:r>
          </w:p>
        </w:tc>
        <w:tc>
          <w:tcPr>
            <w:tcW w:w="0" w:type="auto"/>
            <w:hideMark/>
          </w:tcPr>
          <w:p w14:paraId="6AB0E71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Customer Risk Analysis</w:t>
            </w:r>
          </w:p>
        </w:tc>
      </w:tr>
      <w:tr w:rsidR="00D00C37" w:rsidRPr="00D00C37" w14:paraId="7EFFF7CE" w14:textId="77777777" w:rsidTr="003B188C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7EC75C06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BR-008</w:t>
            </w:r>
          </w:p>
        </w:tc>
        <w:tc>
          <w:tcPr>
            <w:tcW w:w="1498" w:type="dxa"/>
            <w:hideMark/>
          </w:tcPr>
          <w:p w14:paraId="41225F0C" w14:textId="778027DC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Analy</w:t>
            </w:r>
            <w:r w:rsidR="003B188C">
              <w:t>s</w:t>
            </w:r>
            <w:r w:rsidRPr="00D00C37">
              <w:t>e channel &amp; device risk</w:t>
            </w:r>
          </w:p>
        </w:tc>
        <w:tc>
          <w:tcPr>
            <w:tcW w:w="565" w:type="dxa"/>
            <w:hideMark/>
          </w:tcPr>
          <w:p w14:paraId="5EA5156A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FR-008</w:t>
            </w:r>
          </w:p>
        </w:tc>
        <w:tc>
          <w:tcPr>
            <w:tcW w:w="0" w:type="auto"/>
            <w:hideMark/>
          </w:tcPr>
          <w:p w14:paraId="7E337D5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Channel-device fraud analysis</w:t>
            </w:r>
          </w:p>
        </w:tc>
        <w:tc>
          <w:tcPr>
            <w:tcW w:w="1801" w:type="dxa"/>
            <w:hideMark/>
          </w:tcPr>
          <w:p w14:paraId="185C59C9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[Your findings: which channels/devices are risky]</w:t>
            </w:r>
          </w:p>
        </w:tc>
        <w:tc>
          <w:tcPr>
            <w:tcW w:w="2548" w:type="dxa"/>
            <w:hideMark/>
          </w:tcPr>
          <w:p w14:paraId="29ED2C24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[Your recommendations: monitoring improvements]</w:t>
            </w:r>
          </w:p>
        </w:tc>
        <w:tc>
          <w:tcPr>
            <w:tcW w:w="0" w:type="auto"/>
            <w:hideMark/>
          </w:tcPr>
          <w:p w14:paraId="0AC33CC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Risk Drivers &amp; Hotspots</w:t>
            </w:r>
          </w:p>
        </w:tc>
      </w:tr>
      <w:tr w:rsidR="00D00C37" w:rsidRPr="00D00C37" w14:paraId="6CF5188E" w14:textId="77777777" w:rsidTr="003B188C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3CD2A5A7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BR-009</w:t>
            </w:r>
          </w:p>
        </w:tc>
        <w:tc>
          <w:tcPr>
            <w:tcW w:w="1498" w:type="dxa"/>
            <w:hideMark/>
          </w:tcPr>
          <w:p w14:paraId="7829CF68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Compare domestic vs international</w:t>
            </w:r>
          </w:p>
        </w:tc>
        <w:tc>
          <w:tcPr>
            <w:tcW w:w="565" w:type="dxa"/>
            <w:hideMark/>
          </w:tcPr>
          <w:p w14:paraId="7706BD84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FR-009</w:t>
            </w:r>
          </w:p>
        </w:tc>
        <w:tc>
          <w:tcPr>
            <w:tcW w:w="0" w:type="auto"/>
            <w:hideMark/>
          </w:tcPr>
          <w:p w14:paraId="58A17127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Fraud loss comparison</w:t>
            </w:r>
          </w:p>
        </w:tc>
        <w:tc>
          <w:tcPr>
            <w:tcW w:w="1801" w:type="dxa"/>
            <w:hideMark/>
          </w:tcPr>
          <w:p w14:paraId="447EDD47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Intl transfers: £399.61 leakage vs domestic baseline</w:t>
            </w:r>
          </w:p>
        </w:tc>
        <w:tc>
          <w:tcPr>
            <w:tcW w:w="2548" w:type="dxa"/>
            <w:hideMark/>
          </w:tcPr>
          <w:p w14:paraId="51FBCD2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Review international transaction controls; fee audit priority</w:t>
            </w:r>
          </w:p>
        </w:tc>
        <w:tc>
          <w:tcPr>
            <w:tcW w:w="0" w:type="auto"/>
            <w:hideMark/>
          </w:tcPr>
          <w:p w14:paraId="43FA1B4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Revenue Leakage Dashboard</w:t>
            </w:r>
          </w:p>
        </w:tc>
      </w:tr>
      <w:tr w:rsidR="00D00C37" w:rsidRPr="00D00C37" w14:paraId="136D37B6" w14:textId="77777777" w:rsidTr="003B188C">
        <w:trPr>
          <w:trHeight w:val="1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hideMark/>
          </w:tcPr>
          <w:p w14:paraId="11BBEE68" w14:textId="77777777" w:rsidR="00D00C37" w:rsidRPr="00D00C37" w:rsidRDefault="00D00C37" w:rsidP="00D00C37">
            <w:pPr>
              <w:spacing w:after="160" w:line="259" w:lineRule="auto"/>
            </w:pPr>
            <w:r w:rsidRPr="00D00C37">
              <w:t>BR-010</w:t>
            </w:r>
          </w:p>
        </w:tc>
        <w:tc>
          <w:tcPr>
            <w:tcW w:w="1498" w:type="dxa"/>
            <w:hideMark/>
          </w:tcPr>
          <w:p w14:paraId="71B5D821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Executive KPI reporting</w:t>
            </w:r>
          </w:p>
        </w:tc>
        <w:tc>
          <w:tcPr>
            <w:tcW w:w="565" w:type="dxa"/>
            <w:hideMark/>
          </w:tcPr>
          <w:p w14:paraId="68316DB6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rPr>
                <w:b/>
                <w:bCs/>
              </w:rPr>
              <w:t>FR-010</w:t>
            </w:r>
          </w:p>
        </w:tc>
        <w:tc>
          <w:tcPr>
            <w:tcW w:w="0" w:type="auto"/>
            <w:hideMark/>
          </w:tcPr>
          <w:p w14:paraId="4B4AC58B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Executive dashboard</w:t>
            </w:r>
          </w:p>
        </w:tc>
        <w:tc>
          <w:tcPr>
            <w:tcW w:w="1801" w:type="dxa"/>
            <w:hideMark/>
          </w:tcPr>
          <w:p w14:paraId="0E894AF4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Dashboard deployed with 4 pages: Fraud, Revenue, Risk, Operational</w:t>
            </w:r>
          </w:p>
        </w:tc>
        <w:tc>
          <w:tcPr>
            <w:tcW w:w="2548" w:type="dxa"/>
            <w:hideMark/>
          </w:tcPr>
          <w:p w14:paraId="440D23DE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Roll out to Risk/Finance/Compliance teams; establish weekly reporting</w:t>
            </w:r>
          </w:p>
        </w:tc>
        <w:tc>
          <w:tcPr>
            <w:tcW w:w="0" w:type="auto"/>
            <w:hideMark/>
          </w:tcPr>
          <w:p w14:paraId="4725E273" w14:textId="77777777" w:rsidR="00D00C37" w:rsidRPr="00D00C37" w:rsidRDefault="00D00C37" w:rsidP="00D00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C37">
              <w:t>Executive Summary</w:t>
            </w:r>
          </w:p>
        </w:tc>
      </w:tr>
    </w:tbl>
    <w:p w14:paraId="38CE853B" w14:textId="77777777" w:rsidR="001C47F7" w:rsidRDefault="001C47F7"/>
    <w:sectPr w:rsidR="001C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DD1"/>
    <w:multiLevelType w:val="multilevel"/>
    <w:tmpl w:val="BC6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83D"/>
    <w:multiLevelType w:val="multilevel"/>
    <w:tmpl w:val="903A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245D3"/>
    <w:multiLevelType w:val="multilevel"/>
    <w:tmpl w:val="034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B7405"/>
    <w:multiLevelType w:val="multilevel"/>
    <w:tmpl w:val="57EC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636F1"/>
    <w:multiLevelType w:val="multilevel"/>
    <w:tmpl w:val="D376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A34D5"/>
    <w:multiLevelType w:val="multilevel"/>
    <w:tmpl w:val="2BF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21553">
    <w:abstractNumId w:val="0"/>
  </w:num>
  <w:num w:numId="2" w16cid:durableId="208151887">
    <w:abstractNumId w:val="5"/>
  </w:num>
  <w:num w:numId="3" w16cid:durableId="1783766516">
    <w:abstractNumId w:val="3"/>
  </w:num>
  <w:num w:numId="4" w16cid:durableId="1912957564">
    <w:abstractNumId w:val="2"/>
  </w:num>
  <w:num w:numId="5" w16cid:durableId="831291310">
    <w:abstractNumId w:val="4"/>
  </w:num>
  <w:num w:numId="6" w16cid:durableId="205700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37"/>
    <w:rsid w:val="001C47F7"/>
    <w:rsid w:val="00301F8F"/>
    <w:rsid w:val="003B188C"/>
    <w:rsid w:val="0061009D"/>
    <w:rsid w:val="00627056"/>
    <w:rsid w:val="00B12868"/>
    <w:rsid w:val="00D0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A6B1"/>
  <w15:chartTrackingRefBased/>
  <w15:docId w15:val="{5571A8E4-6E63-4C05-B5CC-B1B5BA47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37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B18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B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B18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B188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B18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B18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B18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B18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B188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B188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</dc:creator>
  <cp:keywords/>
  <dc:description/>
  <cp:lastModifiedBy>HARSHITHA M</cp:lastModifiedBy>
  <cp:revision>1</cp:revision>
  <dcterms:created xsi:type="dcterms:W3CDTF">2026-06-22T11:58:00Z</dcterms:created>
  <dcterms:modified xsi:type="dcterms:W3CDTF">2026-06-22T12:15:00Z</dcterms:modified>
</cp:coreProperties>
</file>