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23A98" w14:textId="67339EA2" w:rsidR="008730A0" w:rsidRDefault="008730A0">
      <w:pPr>
        <w:rPr>
          <w:rFonts w:ascii="Arial" w:hAnsi="Arial" w:cs="Arial"/>
          <w:b/>
          <w:bCs/>
          <w:color w:val="292929"/>
          <w:spacing w:val="-1"/>
          <w:shd w:val="clear" w:color="auto" w:fill="FFFFFF"/>
        </w:rPr>
      </w:pPr>
      <w:r w:rsidRPr="008730A0">
        <w:rPr>
          <w:rFonts w:ascii="Arial" w:hAnsi="Arial" w:cs="Arial"/>
          <w:b/>
          <w:bCs/>
          <w:color w:val="292929"/>
          <w:spacing w:val="-1"/>
          <w:shd w:val="clear" w:color="auto" w:fill="FFFFFF"/>
        </w:rPr>
        <w:t xml:space="preserve">Responsible AI </w:t>
      </w:r>
    </w:p>
    <w:p w14:paraId="7FAA1CB1" w14:textId="77777777" w:rsidR="00D941F6" w:rsidRDefault="00D941F6">
      <w:pPr>
        <w:rPr>
          <w:rFonts w:ascii="Arial" w:hAnsi="Arial" w:cs="Arial"/>
          <w:color w:val="292929"/>
          <w:spacing w:val="-1"/>
          <w:shd w:val="clear" w:color="auto" w:fill="FFFFFF"/>
        </w:rPr>
      </w:pPr>
      <w:r w:rsidRPr="00D941F6">
        <w:rPr>
          <w:rFonts w:ascii="Arial" w:hAnsi="Arial" w:cs="Arial"/>
          <w:color w:val="292929"/>
          <w:spacing w:val="-1"/>
          <w:shd w:val="clear" w:color="auto" w:fill="FFFFFF"/>
        </w:rPr>
        <w:t>Responsible AI is a governance framework that documents how a specific organization is addressing the challenges around artificial intelligence (AI) from both an ethical and legal point of view. Resolving ambiguity for where responsibility lies if something goes wrong is an important driver for responsible AI initiatives.</w:t>
      </w:r>
    </w:p>
    <w:p w14:paraId="1A9B65DD" w14:textId="19C5580D" w:rsidR="002D3C48" w:rsidRDefault="002D3C48" w:rsidP="002D3C48">
      <w:pPr>
        <w:jc w:val="center"/>
        <w:rPr>
          <w:rFonts w:ascii="Arial" w:hAnsi="Arial" w:cs="Arial"/>
          <w:b/>
          <w:bCs/>
          <w:color w:val="292929"/>
          <w:spacing w:val="-1"/>
          <w:shd w:val="clear" w:color="auto" w:fill="FFFFFF"/>
        </w:rPr>
      </w:pPr>
      <w:r>
        <w:rPr>
          <w:noProof/>
        </w:rPr>
        <w:drawing>
          <wp:inline distT="0" distB="0" distL="0" distR="0" wp14:anchorId="398CD7B9" wp14:editId="717E6A6A">
            <wp:extent cx="2540000" cy="1642023"/>
            <wp:effectExtent l="0" t="0" r="0" b="0"/>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pic:nvPicPr>
                  <pic:blipFill>
                    <a:blip r:embed="rId4"/>
                    <a:stretch>
                      <a:fillRect/>
                    </a:stretch>
                  </pic:blipFill>
                  <pic:spPr>
                    <a:xfrm>
                      <a:off x="0" y="0"/>
                      <a:ext cx="2540000" cy="1642023"/>
                    </a:xfrm>
                    <a:prstGeom prst="rect">
                      <a:avLst/>
                    </a:prstGeom>
                  </pic:spPr>
                </pic:pic>
              </a:graphicData>
            </a:graphic>
          </wp:inline>
        </w:drawing>
      </w:r>
    </w:p>
    <w:p w14:paraId="42CFA1CC" w14:textId="2E72B4A1" w:rsidR="002D3C48" w:rsidRDefault="002D3C48" w:rsidP="002D3C48">
      <w:pPr>
        <w:jc w:val="center"/>
        <w:rPr>
          <w:rFonts w:ascii="Arial" w:hAnsi="Arial" w:cs="Arial"/>
          <w:i/>
          <w:iCs/>
          <w:color w:val="292929"/>
          <w:spacing w:val="-1"/>
          <w:shd w:val="clear" w:color="auto" w:fill="FFFFFF"/>
        </w:rPr>
      </w:pPr>
      <w:r w:rsidRPr="002D3C48">
        <w:rPr>
          <w:rFonts w:ascii="Arial" w:hAnsi="Arial" w:cs="Arial"/>
          <w:i/>
          <w:iCs/>
          <w:color w:val="292929"/>
          <w:spacing w:val="-1"/>
          <w:shd w:val="clear" w:color="auto" w:fill="FFFFFF"/>
        </w:rPr>
        <w:t xml:space="preserve">Source: </w:t>
      </w:r>
      <w:hyperlink r:id="rId5" w:history="1">
        <w:r w:rsidRPr="004B0068">
          <w:rPr>
            <w:rStyle w:val="Hyperlink"/>
            <w:rFonts w:ascii="Arial" w:hAnsi="Arial" w:cs="Arial"/>
            <w:i/>
            <w:iCs/>
            <w:spacing w:val="-1"/>
            <w:shd w:val="clear" w:color="auto" w:fill="FFFFFF"/>
          </w:rPr>
          <w:t>https://towardsdatascience.com/what-is-responsible-ai-548743369729</w:t>
        </w:r>
      </w:hyperlink>
    </w:p>
    <w:p w14:paraId="0ACCA0F4" w14:textId="3008A856" w:rsidR="00ED311B" w:rsidRDefault="005204D9" w:rsidP="00CB30B2">
      <w:pPr>
        <w:rPr>
          <w:rFonts w:ascii="Arial" w:hAnsi="Arial" w:cs="Arial"/>
          <w:color w:val="292929"/>
          <w:spacing w:val="-1"/>
          <w:shd w:val="clear" w:color="auto" w:fill="FFFFFF"/>
        </w:rPr>
      </w:pPr>
      <w:r w:rsidRPr="005204D9">
        <w:rPr>
          <w:rFonts w:ascii="Arial" w:hAnsi="Arial" w:cs="Arial"/>
          <w:color w:val="292929"/>
          <w:spacing w:val="-1"/>
          <w:shd w:val="clear" w:color="auto" w:fill="FFFFFF"/>
        </w:rPr>
        <w:t>The framework can include details on what data can be collected and used, how models should be evaluated, and how to best deploy and monitor models</w:t>
      </w:r>
      <w:r w:rsidR="00023582">
        <w:rPr>
          <w:rFonts w:ascii="Arial" w:hAnsi="Arial" w:cs="Arial"/>
          <w:color w:val="292929"/>
          <w:spacing w:val="-1"/>
          <w:shd w:val="clear" w:color="auto" w:fill="FFFFFF"/>
        </w:rPr>
        <w:t xml:space="preserve"> and</w:t>
      </w:r>
      <w:r w:rsidRPr="005204D9">
        <w:rPr>
          <w:rFonts w:ascii="Arial" w:hAnsi="Arial" w:cs="Arial"/>
          <w:color w:val="292929"/>
          <w:spacing w:val="-1"/>
          <w:shd w:val="clear" w:color="auto" w:fill="FFFFFF"/>
        </w:rPr>
        <w:t xml:space="preserve"> can also define who is accountable for any negative outcomes of AI</w:t>
      </w:r>
      <w:r w:rsidR="00CB30B2">
        <w:rPr>
          <w:rFonts w:ascii="Arial" w:hAnsi="Arial" w:cs="Arial"/>
          <w:color w:val="292929"/>
          <w:spacing w:val="-1"/>
          <w:shd w:val="clear" w:color="auto" w:fill="FFFFFF"/>
        </w:rPr>
        <w:t>-</w:t>
      </w:r>
      <w:r w:rsidRPr="005204D9">
        <w:rPr>
          <w:rFonts w:ascii="Arial" w:hAnsi="Arial" w:cs="Arial"/>
          <w:color w:val="292929"/>
          <w:spacing w:val="-1"/>
          <w:shd w:val="clear" w:color="auto" w:fill="FFFFFF"/>
        </w:rPr>
        <w:t xml:space="preserve"> to create AI systems that are interpretable, fair, </w:t>
      </w:r>
      <w:r w:rsidR="00ED311B" w:rsidRPr="005204D9">
        <w:rPr>
          <w:rFonts w:ascii="Arial" w:hAnsi="Arial" w:cs="Arial"/>
          <w:color w:val="292929"/>
          <w:spacing w:val="-1"/>
          <w:shd w:val="clear" w:color="auto" w:fill="FFFFFF"/>
        </w:rPr>
        <w:t>safe,</w:t>
      </w:r>
      <w:r w:rsidRPr="005204D9">
        <w:rPr>
          <w:rFonts w:ascii="Arial" w:hAnsi="Arial" w:cs="Arial"/>
          <w:color w:val="292929"/>
          <w:spacing w:val="-1"/>
          <w:shd w:val="clear" w:color="auto" w:fill="FFFFFF"/>
        </w:rPr>
        <w:t xml:space="preserve"> and respectful of a user’s privacy.</w:t>
      </w:r>
      <w:r w:rsidR="00CB30B2">
        <w:rPr>
          <w:rFonts w:ascii="Arial" w:hAnsi="Arial" w:cs="Arial"/>
          <w:color w:val="292929"/>
          <w:spacing w:val="-1"/>
          <w:shd w:val="clear" w:color="auto" w:fill="FFFFFF"/>
        </w:rPr>
        <w:t xml:space="preserve"> </w:t>
      </w:r>
      <w:r w:rsidR="00763647" w:rsidRPr="00763647">
        <w:rPr>
          <w:rFonts w:ascii="Arial" w:hAnsi="Arial" w:cs="Arial"/>
          <w:color w:val="292929"/>
          <w:spacing w:val="-1"/>
          <w:shd w:val="clear" w:color="auto" w:fill="FFFFFF"/>
        </w:rPr>
        <w:t>The quality of data used is important. If there are mistakes in the data used by AI then the system may make incorrect decisions</w:t>
      </w:r>
      <w:r w:rsidR="00CB30B2">
        <w:rPr>
          <w:rFonts w:ascii="Arial" w:hAnsi="Arial" w:cs="Arial"/>
          <w:color w:val="292929"/>
          <w:spacing w:val="-1"/>
          <w:shd w:val="clear" w:color="auto" w:fill="FFFFFF"/>
        </w:rPr>
        <w:t>.</w:t>
      </w:r>
    </w:p>
    <w:p w14:paraId="278F4723" w14:textId="46D2E107" w:rsidR="00BD24D4" w:rsidRDefault="009500F5" w:rsidP="002D3C48">
      <w:pPr>
        <w:rPr>
          <w:rFonts w:ascii="Arial" w:hAnsi="Arial" w:cs="Arial"/>
          <w:b/>
          <w:bCs/>
        </w:rPr>
      </w:pPr>
      <w:r>
        <w:rPr>
          <w:rFonts w:ascii="Arial" w:hAnsi="Arial" w:cs="Arial"/>
          <w:b/>
          <w:bCs/>
        </w:rPr>
        <w:t>W</w:t>
      </w:r>
      <w:r w:rsidRPr="009500F5">
        <w:rPr>
          <w:rFonts w:ascii="Arial" w:hAnsi="Arial" w:cs="Arial"/>
          <w:b/>
          <w:bCs/>
        </w:rPr>
        <w:t xml:space="preserve">here AI has failed? </w:t>
      </w:r>
      <w:r w:rsidR="00373C3D">
        <w:rPr>
          <w:rFonts w:ascii="Arial" w:hAnsi="Arial" w:cs="Arial"/>
          <w:b/>
          <w:bCs/>
        </w:rPr>
        <w:br/>
        <w:t>Example</w:t>
      </w:r>
    </w:p>
    <w:p w14:paraId="07FE6109" w14:textId="0766A421" w:rsidR="00E66A13" w:rsidRDefault="00E66A13" w:rsidP="00E66A13">
      <w:pPr>
        <w:rPr>
          <w:rFonts w:ascii="Arial" w:hAnsi="Arial" w:cs="Arial"/>
        </w:rPr>
      </w:pPr>
      <w:r w:rsidRPr="00E66A13">
        <w:rPr>
          <w:rFonts w:ascii="Arial" w:hAnsi="Arial" w:cs="Arial"/>
        </w:rPr>
        <w:t>AI could perform more quickly, accurately, reliably, and impartially than humans on a wide range of problems, from detecting cancer to deciding who receives an interview for a job. But AIs have also suffered numerous, sometimes deadly, failures. And the increasing ubiquity of AI means that failures can affect not just individuals but millions of people.</w:t>
      </w:r>
    </w:p>
    <w:p w14:paraId="7A31E1AC" w14:textId="27E649D5" w:rsidR="0038326D" w:rsidRDefault="0038326D" w:rsidP="002D3C48">
      <w:pPr>
        <w:rPr>
          <w:rFonts w:ascii="Arial" w:hAnsi="Arial" w:cs="Arial"/>
        </w:rPr>
      </w:pPr>
      <w:r w:rsidRPr="0038326D">
        <w:rPr>
          <w:rFonts w:ascii="Arial" w:hAnsi="Arial" w:cs="Arial"/>
        </w:rPr>
        <w:t>In 2013, IBM partnered with The University of Texas MD Anderson Cancer Center to develop a new “Oncology Expert Advisor” system.  Medical specialists and customers identified “multiple examples of unsafe and incorrect treatment recommendations</w:t>
      </w:r>
      <w:r w:rsidR="00D21582">
        <w:rPr>
          <w:rFonts w:ascii="Arial" w:hAnsi="Arial" w:cs="Arial"/>
        </w:rPr>
        <w:t xml:space="preserve">. </w:t>
      </w:r>
      <w:r w:rsidRPr="0038326D">
        <w:rPr>
          <w:rFonts w:ascii="Arial" w:hAnsi="Arial" w:cs="Arial"/>
        </w:rPr>
        <w:t>In February 2017, Forbes reported that MD Anderson had “benched” the Watson for Oncology project. A special report from University of Texas auditors said that MD Anderson had spent more than $62 million without reaching their goals.</w:t>
      </w:r>
    </w:p>
    <w:p w14:paraId="63AF907B" w14:textId="47B11F0C" w:rsidR="00E95465" w:rsidRPr="00E95465" w:rsidRDefault="007C03F1" w:rsidP="00E95465">
      <w:pPr>
        <w:rPr>
          <w:rFonts w:ascii="Arial" w:hAnsi="Arial" w:cs="Arial"/>
          <w:b/>
          <w:bCs/>
        </w:rPr>
      </w:pPr>
      <w:r w:rsidRPr="007C03F1">
        <w:rPr>
          <w:rFonts w:ascii="Arial" w:hAnsi="Arial" w:cs="Arial"/>
          <w:b/>
          <w:bCs/>
        </w:rPr>
        <w:t>GDPR on A</w:t>
      </w:r>
      <w:r w:rsidR="009127F6">
        <w:rPr>
          <w:rFonts w:ascii="Arial" w:hAnsi="Arial" w:cs="Arial"/>
          <w:b/>
          <w:bCs/>
        </w:rPr>
        <w:t xml:space="preserve">I </w:t>
      </w:r>
      <w:r w:rsidR="009127F6">
        <w:rPr>
          <w:rFonts w:ascii="Arial" w:hAnsi="Arial" w:cs="Arial"/>
          <w:b/>
          <w:bCs/>
        </w:rPr>
        <w:br/>
      </w:r>
      <w:r w:rsidR="00E95465" w:rsidRPr="00E95465">
        <w:rPr>
          <w:rFonts w:ascii="Arial" w:hAnsi="Arial" w:cs="Arial"/>
          <w:b/>
          <w:bCs/>
        </w:rPr>
        <w:t>Automated Decision-Making – Human Intervention and Right to Contest</w:t>
      </w:r>
    </w:p>
    <w:p w14:paraId="6A70D8CC" w14:textId="01509E87" w:rsidR="0038326D" w:rsidRPr="00E95465" w:rsidRDefault="00E95465" w:rsidP="00E95465">
      <w:pPr>
        <w:rPr>
          <w:rFonts w:ascii="Arial" w:hAnsi="Arial" w:cs="Arial"/>
        </w:rPr>
      </w:pPr>
      <w:r w:rsidRPr="00E95465">
        <w:rPr>
          <w:rFonts w:ascii="Arial" w:hAnsi="Arial" w:cs="Arial"/>
        </w:rPr>
        <w:t>Article 22</w:t>
      </w:r>
      <w:r w:rsidR="00D932CD">
        <w:rPr>
          <w:rFonts w:ascii="Arial" w:hAnsi="Arial" w:cs="Arial"/>
        </w:rPr>
        <w:t xml:space="preserve"> of GDPR</w:t>
      </w:r>
      <w:r w:rsidRPr="00E95465">
        <w:rPr>
          <w:rFonts w:ascii="Arial" w:hAnsi="Arial" w:cs="Arial"/>
        </w:rPr>
        <w:t xml:space="preserve"> sets out a more specific right for individuals not to be subject to a decision based solely on automated processing, including profiling, which produces legal effects concerning him or her or similarly affects him or her. Article 22(2) provides that solely ADM is permitted where the individual has explicitly consented, where the processing is necessary to </w:t>
      </w:r>
      <w:r w:rsidR="007B643F" w:rsidRPr="00E95465">
        <w:rPr>
          <w:rFonts w:ascii="Arial" w:hAnsi="Arial" w:cs="Arial"/>
        </w:rPr>
        <w:t>enter</w:t>
      </w:r>
      <w:r w:rsidRPr="00E95465">
        <w:rPr>
          <w:rFonts w:ascii="Arial" w:hAnsi="Arial" w:cs="Arial"/>
        </w:rPr>
        <w:t xml:space="preserve"> </w:t>
      </w:r>
      <w:r w:rsidR="007B643F">
        <w:rPr>
          <w:rFonts w:ascii="Arial" w:hAnsi="Arial" w:cs="Arial"/>
        </w:rPr>
        <w:t xml:space="preserve">into </w:t>
      </w:r>
      <w:r w:rsidRPr="00E95465">
        <w:rPr>
          <w:rFonts w:ascii="Arial" w:hAnsi="Arial" w:cs="Arial"/>
        </w:rPr>
        <w:t>a contract with the individual or where it is authorised by</w:t>
      </w:r>
      <w:r w:rsidR="00ED03A4">
        <w:rPr>
          <w:rFonts w:ascii="Arial" w:hAnsi="Arial" w:cs="Arial"/>
        </w:rPr>
        <w:t xml:space="preserve"> </w:t>
      </w:r>
      <w:r w:rsidRPr="00E95465">
        <w:rPr>
          <w:rFonts w:ascii="Arial" w:hAnsi="Arial" w:cs="Arial"/>
        </w:rPr>
        <w:t>Member State law. Article 22(3) also provides individuals with a right to obtain human intervention in a decision made by AI and the right to contest the decision. These are important rights for individuals in the context of AI that</w:t>
      </w:r>
      <w:r w:rsidR="00ED03A4">
        <w:rPr>
          <w:rFonts w:ascii="Arial" w:hAnsi="Arial" w:cs="Arial"/>
        </w:rPr>
        <w:t xml:space="preserve"> </w:t>
      </w:r>
      <w:r w:rsidRPr="00E95465">
        <w:rPr>
          <w:rFonts w:ascii="Arial" w:hAnsi="Arial" w:cs="Arial"/>
        </w:rPr>
        <w:t>also ensure that the use of AI is fair and human-centric. Allowing individuals to obtain transparent information, including an explanation of how a decision was made, is therefore key to enabling them to contest an automated decision under Article 22(3) with the</w:t>
      </w:r>
      <w:r w:rsidR="007B643F">
        <w:rPr>
          <w:rFonts w:ascii="Arial" w:hAnsi="Arial" w:cs="Arial"/>
        </w:rPr>
        <w:t xml:space="preserve"> </w:t>
      </w:r>
      <w:r w:rsidRPr="00E95465">
        <w:rPr>
          <w:rFonts w:ascii="Arial" w:hAnsi="Arial" w:cs="Arial"/>
        </w:rPr>
        <w:t>controller, or the DPA, or in court.</w:t>
      </w:r>
    </w:p>
    <w:p w14:paraId="04D0B1F6" w14:textId="7C240E70" w:rsidR="008730A0" w:rsidRPr="00FE481F" w:rsidRDefault="000A743F">
      <w:pPr>
        <w:rPr>
          <w:rFonts w:ascii="Arial" w:hAnsi="Arial" w:cs="Arial"/>
          <w:b/>
          <w:bCs/>
        </w:rPr>
      </w:pPr>
      <w:r w:rsidRPr="00FE481F">
        <w:rPr>
          <w:rFonts w:ascii="Arial" w:hAnsi="Arial" w:cs="Arial"/>
          <w:b/>
          <w:bCs/>
        </w:rPr>
        <w:lastRenderedPageBreak/>
        <w:t>What should organisations do to ensure that they are being responsible with AI and the wider use of data in general?</w:t>
      </w:r>
    </w:p>
    <w:p w14:paraId="747F981F" w14:textId="3BAAD665" w:rsidR="000A743F" w:rsidRPr="000A743F" w:rsidRDefault="000A743F" w:rsidP="000A743F">
      <w:pPr>
        <w:rPr>
          <w:rFonts w:ascii="Arial" w:hAnsi="Arial" w:cs="Arial"/>
          <w:color w:val="292929"/>
          <w:spacing w:val="-1"/>
          <w:shd w:val="clear" w:color="auto" w:fill="FFFFFF"/>
        </w:rPr>
      </w:pPr>
      <w:r w:rsidRPr="000A743F">
        <w:rPr>
          <w:rFonts w:ascii="Arial" w:hAnsi="Arial" w:cs="Arial"/>
          <w:color w:val="292929"/>
          <w:spacing w:val="-1"/>
          <w:shd w:val="clear" w:color="auto" w:fill="FFFFFF"/>
        </w:rPr>
        <w:t xml:space="preserve">Develop guidelines and policies on how </w:t>
      </w:r>
      <w:r w:rsidR="00D21582">
        <w:rPr>
          <w:rFonts w:ascii="Arial" w:hAnsi="Arial" w:cs="Arial"/>
          <w:color w:val="292929"/>
          <w:spacing w:val="-1"/>
          <w:shd w:val="clear" w:color="auto" w:fill="FFFFFF"/>
        </w:rPr>
        <w:t>organisation</w:t>
      </w:r>
      <w:r w:rsidRPr="000A743F">
        <w:rPr>
          <w:rFonts w:ascii="Arial" w:hAnsi="Arial" w:cs="Arial"/>
          <w:color w:val="292929"/>
          <w:spacing w:val="-1"/>
          <w:shd w:val="clear" w:color="auto" w:fill="FFFFFF"/>
        </w:rPr>
        <w:t xml:space="preserve"> is implementing responsible AI and taking this technology seriously.</w:t>
      </w:r>
    </w:p>
    <w:p w14:paraId="5DFBD4C5" w14:textId="77777777" w:rsidR="000A743F" w:rsidRPr="000A743F" w:rsidRDefault="000A743F" w:rsidP="000A743F">
      <w:pPr>
        <w:rPr>
          <w:rFonts w:ascii="Arial" w:hAnsi="Arial" w:cs="Arial"/>
          <w:color w:val="292929"/>
          <w:spacing w:val="-1"/>
          <w:shd w:val="clear" w:color="auto" w:fill="FFFFFF"/>
        </w:rPr>
      </w:pPr>
      <w:r w:rsidRPr="000A743F">
        <w:rPr>
          <w:rFonts w:ascii="Arial" w:hAnsi="Arial" w:cs="Arial"/>
          <w:color w:val="292929"/>
          <w:spacing w:val="-1"/>
          <w:shd w:val="clear" w:color="auto" w:fill="FFFFFF"/>
        </w:rPr>
        <w:t>Design and continually check AI algorithms and data platforms from end-to-end.</w:t>
      </w:r>
    </w:p>
    <w:p w14:paraId="465FCD0C" w14:textId="3C4182B2" w:rsidR="000B1F0D" w:rsidRPr="000A743F" w:rsidRDefault="00D21582" w:rsidP="000A743F">
      <w:pPr>
        <w:rPr>
          <w:rFonts w:ascii="Arial" w:hAnsi="Arial" w:cs="Arial"/>
          <w:color w:val="292929"/>
          <w:spacing w:val="-1"/>
          <w:shd w:val="clear" w:color="auto" w:fill="FFFFFF"/>
        </w:rPr>
      </w:pPr>
      <w:r>
        <w:rPr>
          <w:rFonts w:ascii="Arial" w:hAnsi="Arial" w:cs="Arial"/>
          <w:color w:val="292929"/>
          <w:spacing w:val="-1"/>
          <w:shd w:val="clear" w:color="auto" w:fill="FFFFFF"/>
        </w:rPr>
        <w:t>U</w:t>
      </w:r>
      <w:r w:rsidR="000A743F" w:rsidRPr="000A743F">
        <w:rPr>
          <w:rFonts w:ascii="Arial" w:hAnsi="Arial" w:cs="Arial"/>
          <w:color w:val="292929"/>
          <w:spacing w:val="-1"/>
          <w:shd w:val="clear" w:color="auto" w:fill="FFFFFF"/>
        </w:rPr>
        <w:t>pskilling and training employees on how to maintain responsible AI.</w:t>
      </w:r>
    </w:p>
    <w:p w14:paraId="1F93AC78" w14:textId="11F8FB69" w:rsidR="000B1F0D" w:rsidRDefault="000B1F0D">
      <w:pPr>
        <w:rPr>
          <w:rFonts w:ascii="Arial" w:hAnsi="Arial" w:cs="Arial"/>
          <w:b/>
          <w:bCs/>
          <w:color w:val="292929"/>
          <w:spacing w:val="-1"/>
          <w:shd w:val="clear" w:color="auto" w:fill="FFFFFF"/>
        </w:rPr>
      </w:pPr>
      <w:r>
        <w:rPr>
          <w:rFonts w:ascii="Arial" w:hAnsi="Arial" w:cs="Arial"/>
          <w:b/>
          <w:bCs/>
          <w:color w:val="292929"/>
          <w:spacing w:val="-1"/>
          <w:shd w:val="clear" w:color="auto" w:fill="FFFFFF"/>
        </w:rPr>
        <w:t>References:</w:t>
      </w:r>
    </w:p>
    <w:p w14:paraId="17D19C30" w14:textId="4268556A" w:rsidR="000B1F0D" w:rsidRDefault="000B1F0D">
      <w:pPr>
        <w:rPr>
          <w:rFonts w:ascii="Arial" w:hAnsi="Arial" w:cs="Arial"/>
          <w:color w:val="292929"/>
          <w:spacing w:val="-1"/>
          <w:shd w:val="clear" w:color="auto" w:fill="FFFFFF"/>
        </w:rPr>
      </w:pPr>
      <w:hyperlink r:id="rId6" w:history="1">
        <w:r w:rsidRPr="004B0068">
          <w:rPr>
            <w:rStyle w:val="Hyperlink"/>
            <w:rFonts w:ascii="Arial" w:hAnsi="Arial" w:cs="Arial"/>
            <w:spacing w:val="-1"/>
            <w:shd w:val="clear" w:color="auto" w:fill="FFFFFF"/>
          </w:rPr>
          <w:t>https://becominghuman.ai/post-gdpr-responsible-ai-legislation-e219d3a1cf07</w:t>
        </w:r>
      </w:hyperlink>
    </w:p>
    <w:p w14:paraId="37A1AE82" w14:textId="0BE890F3" w:rsidR="009A56CD" w:rsidRDefault="009A56CD">
      <w:pPr>
        <w:rPr>
          <w:rFonts w:ascii="Arial" w:hAnsi="Arial" w:cs="Arial"/>
          <w:color w:val="292929"/>
          <w:spacing w:val="-1"/>
          <w:shd w:val="clear" w:color="auto" w:fill="FFFFFF"/>
        </w:rPr>
      </w:pPr>
      <w:hyperlink r:id="rId7" w:history="1">
        <w:r w:rsidRPr="004B0068">
          <w:rPr>
            <w:rStyle w:val="Hyperlink"/>
            <w:rFonts w:ascii="Arial" w:hAnsi="Arial" w:cs="Arial"/>
            <w:spacing w:val="-1"/>
            <w:shd w:val="clear" w:color="auto" w:fill="FFFFFF"/>
          </w:rPr>
          <w:t>https://towardsdatascience.com/what-is-responsible-ai-548743369729</w:t>
        </w:r>
      </w:hyperlink>
    </w:p>
    <w:p w14:paraId="740D612A" w14:textId="07B32B3B" w:rsidR="004D2DFB" w:rsidRDefault="004D2DFB">
      <w:pPr>
        <w:rPr>
          <w:rFonts w:ascii="Arial" w:hAnsi="Arial" w:cs="Arial"/>
          <w:color w:val="292929"/>
          <w:spacing w:val="-1"/>
          <w:shd w:val="clear" w:color="auto" w:fill="FFFFFF"/>
        </w:rPr>
      </w:pPr>
      <w:hyperlink r:id="rId8" w:history="1">
        <w:r w:rsidRPr="004B0068">
          <w:rPr>
            <w:rStyle w:val="Hyperlink"/>
            <w:rFonts w:ascii="Arial" w:hAnsi="Arial" w:cs="Arial"/>
            <w:spacing w:val="-1"/>
            <w:shd w:val="clear" w:color="auto" w:fill="FFFFFF"/>
          </w:rPr>
          <w:t>https://searchenterpriseai.techtarget.com/definition/responsible-AI</w:t>
        </w:r>
      </w:hyperlink>
    </w:p>
    <w:p w14:paraId="3051AF09" w14:textId="5AA597CA" w:rsidR="0038326D" w:rsidRDefault="0038326D">
      <w:pPr>
        <w:rPr>
          <w:rFonts w:ascii="Arial" w:hAnsi="Arial" w:cs="Arial"/>
          <w:color w:val="292929"/>
          <w:spacing w:val="-1"/>
          <w:shd w:val="clear" w:color="auto" w:fill="FFFFFF"/>
        </w:rPr>
      </w:pPr>
      <w:hyperlink r:id="rId9" w:history="1">
        <w:r w:rsidRPr="004B0068">
          <w:rPr>
            <w:rStyle w:val="Hyperlink"/>
            <w:rFonts w:ascii="Arial" w:hAnsi="Arial" w:cs="Arial"/>
            <w:spacing w:val="-1"/>
            <w:shd w:val="clear" w:color="auto" w:fill="FFFFFF"/>
          </w:rPr>
          <w:t>https://www.lexalytics.com/lexablog/stories-ai-failure-avoid-ai-fails-2020</w:t>
        </w:r>
      </w:hyperlink>
    </w:p>
    <w:p w14:paraId="1DBCF9C6" w14:textId="74FD5F09" w:rsidR="00047770" w:rsidRDefault="00047770">
      <w:pPr>
        <w:rPr>
          <w:rFonts w:ascii="Arial" w:hAnsi="Arial" w:cs="Arial"/>
          <w:color w:val="292929"/>
          <w:spacing w:val="-1"/>
          <w:shd w:val="clear" w:color="auto" w:fill="FFFFFF"/>
        </w:rPr>
      </w:pPr>
      <w:hyperlink r:id="rId10" w:history="1">
        <w:r w:rsidRPr="004B0068">
          <w:rPr>
            <w:rStyle w:val="Hyperlink"/>
            <w:rFonts w:ascii="Arial" w:hAnsi="Arial" w:cs="Arial"/>
            <w:spacing w:val="-1"/>
            <w:shd w:val="clear" w:color="auto" w:fill="FFFFFF"/>
          </w:rPr>
          <w:t>https://www.informationpolicycentre.com/uploads/5/7/1/0/57104281/cipl-hunton_andrews_kurth_legal_note_-_how_gdpr_regulates_ai__12_march_2020_.pdf</w:t>
        </w:r>
      </w:hyperlink>
    </w:p>
    <w:p w14:paraId="74B33018" w14:textId="77777777" w:rsidR="00047770" w:rsidRDefault="00047770">
      <w:pPr>
        <w:rPr>
          <w:rFonts w:ascii="Arial" w:hAnsi="Arial" w:cs="Arial"/>
          <w:color w:val="292929"/>
          <w:spacing w:val="-1"/>
          <w:shd w:val="clear" w:color="auto" w:fill="FFFFFF"/>
        </w:rPr>
      </w:pPr>
    </w:p>
    <w:p w14:paraId="166B36A3" w14:textId="77777777" w:rsidR="0038326D" w:rsidRDefault="0038326D">
      <w:pPr>
        <w:rPr>
          <w:rFonts w:ascii="Arial" w:hAnsi="Arial" w:cs="Arial"/>
          <w:color w:val="292929"/>
          <w:spacing w:val="-1"/>
          <w:shd w:val="clear" w:color="auto" w:fill="FFFFFF"/>
        </w:rPr>
      </w:pPr>
    </w:p>
    <w:p w14:paraId="5F774A03" w14:textId="77777777" w:rsidR="00C1535D" w:rsidRDefault="00C1535D">
      <w:pPr>
        <w:rPr>
          <w:rFonts w:ascii="Arial" w:hAnsi="Arial" w:cs="Arial"/>
          <w:color w:val="292929"/>
          <w:spacing w:val="-1"/>
          <w:shd w:val="clear" w:color="auto" w:fill="FFFFFF"/>
        </w:rPr>
      </w:pPr>
    </w:p>
    <w:p w14:paraId="5C7FD5F9" w14:textId="77777777" w:rsidR="009A56CD" w:rsidRDefault="009A56CD">
      <w:pPr>
        <w:rPr>
          <w:rFonts w:ascii="Arial" w:hAnsi="Arial" w:cs="Arial"/>
          <w:color w:val="292929"/>
          <w:spacing w:val="-1"/>
          <w:shd w:val="clear" w:color="auto" w:fill="FFFFFF"/>
        </w:rPr>
      </w:pPr>
    </w:p>
    <w:p w14:paraId="102248B1" w14:textId="77777777" w:rsidR="000B1F0D" w:rsidRPr="000B1F0D" w:rsidRDefault="000B1F0D">
      <w:pPr>
        <w:rPr>
          <w:rFonts w:ascii="Arial" w:hAnsi="Arial" w:cs="Arial"/>
          <w:color w:val="292929"/>
          <w:spacing w:val="-1"/>
          <w:shd w:val="clear" w:color="auto" w:fill="FFFFFF"/>
        </w:rPr>
      </w:pPr>
    </w:p>
    <w:p w14:paraId="2C8F7000" w14:textId="15C874DD" w:rsidR="000B1F0D" w:rsidRDefault="000B1F0D">
      <w:pPr>
        <w:rPr>
          <w:rFonts w:ascii="Arial" w:hAnsi="Arial" w:cs="Arial"/>
          <w:b/>
          <w:bCs/>
          <w:color w:val="292929"/>
          <w:spacing w:val="-1"/>
          <w:shd w:val="clear" w:color="auto" w:fill="FFFFFF"/>
        </w:rPr>
      </w:pPr>
    </w:p>
    <w:p w14:paraId="03852C07" w14:textId="77777777" w:rsidR="000B1F0D" w:rsidRDefault="000B1F0D">
      <w:pPr>
        <w:rPr>
          <w:rFonts w:ascii="Arial" w:hAnsi="Arial" w:cs="Arial"/>
          <w:b/>
          <w:bCs/>
          <w:color w:val="292929"/>
          <w:spacing w:val="-1"/>
          <w:shd w:val="clear" w:color="auto" w:fill="FFFFFF"/>
        </w:rPr>
      </w:pPr>
    </w:p>
    <w:p w14:paraId="405E816B" w14:textId="77777777" w:rsidR="008730A0" w:rsidRPr="008730A0" w:rsidRDefault="008730A0">
      <w:pPr>
        <w:rPr>
          <w:rFonts w:ascii="Arial" w:hAnsi="Arial" w:cs="Arial"/>
          <w:b/>
          <w:bCs/>
          <w:color w:val="292929"/>
          <w:spacing w:val="-1"/>
          <w:shd w:val="clear" w:color="auto" w:fill="FFFFFF"/>
        </w:rPr>
      </w:pPr>
    </w:p>
    <w:p w14:paraId="7454E4FF" w14:textId="77777777" w:rsidR="008730A0" w:rsidRPr="008730A0" w:rsidRDefault="008730A0">
      <w:pPr>
        <w:rPr>
          <w:rFonts w:ascii="Arial" w:hAnsi="Arial" w:cs="Arial"/>
        </w:rPr>
      </w:pPr>
    </w:p>
    <w:sectPr w:rsidR="008730A0" w:rsidRPr="008730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838"/>
    <w:rsid w:val="00023582"/>
    <w:rsid w:val="00047770"/>
    <w:rsid w:val="000A743F"/>
    <w:rsid w:val="000B1F0D"/>
    <w:rsid w:val="00111A45"/>
    <w:rsid w:val="00197220"/>
    <w:rsid w:val="001C2926"/>
    <w:rsid w:val="002B475D"/>
    <w:rsid w:val="002D3C48"/>
    <w:rsid w:val="00373C3D"/>
    <w:rsid w:val="0038326D"/>
    <w:rsid w:val="004D2DFB"/>
    <w:rsid w:val="005204D9"/>
    <w:rsid w:val="00763647"/>
    <w:rsid w:val="007B643F"/>
    <w:rsid w:val="007C03F1"/>
    <w:rsid w:val="008730A0"/>
    <w:rsid w:val="009127F6"/>
    <w:rsid w:val="009500F5"/>
    <w:rsid w:val="009A56CD"/>
    <w:rsid w:val="009A6280"/>
    <w:rsid w:val="00A312B9"/>
    <w:rsid w:val="00B05838"/>
    <w:rsid w:val="00B50D77"/>
    <w:rsid w:val="00BD24D4"/>
    <w:rsid w:val="00C1535D"/>
    <w:rsid w:val="00C85177"/>
    <w:rsid w:val="00CB30B2"/>
    <w:rsid w:val="00D21582"/>
    <w:rsid w:val="00D932CD"/>
    <w:rsid w:val="00D941F6"/>
    <w:rsid w:val="00D94C57"/>
    <w:rsid w:val="00DC18F3"/>
    <w:rsid w:val="00E66A13"/>
    <w:rsid w:val="00E95465"/>
    <w:rsid w:val="00ED03A4"/>
    <w:rsid w:val="00ED311B"/>
    <w:rsid w:val="00FE48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90916"/>
  <w15:chartTrackingRefBased/>
  <w15:docId w15:val="{14E84D96-3CAB-4F94-B6F9-D815B5632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1F0D"/>
    <w:rPr>
      <w:color w:val="0563C1" w:themeColor="hyperlink"/>
      <w:u w:val="single"/>
    </w:rPr>
  </w:style>
  <w:style w:type="character" w:styleId="UnresolvedMention">
    <w:name w:val="Unresolved Mention"/>
    <w:basedOn w:val="DefaultParagraphFont"/>
    <w:uiPriority w:val="99"/>
    <w:semiHidden/>
    <w:unhideWhenUsed/>
    <w:rsid w:val="000B1F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enterpriseai.techtarget.com/definition/responsible-AI" TargetMode="External"/><Relationship Id="rId3" Type="http://schemas.openxmlformats.org/officeDocument/2006/relationships/webSettings" Target="webSettings.xml"/><Relationship Id="rId7" Type="http://schemas.openxmlformats.org/officeDocument/2006/relationships/hyperlink" Target="https://towardsdatascience.com/what-is-responsible-ai-548743369729"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ecominghuman.ai/post-gdpr-responsible-ai-legislation-e219d3a1cf07" TargetMode="External"/><Relationship Id="rId11" Type="http://schemas.openxmlformats.org/officeDocument/2006/relationships/fontTable" Target="fontTable.xml"/><Relationship Id="rId5" Type="http://schemas.openxmlformats.org/officeDocument/2006/relationships/hyperlink" Target="https://towardsdatascience.com/what-is-responsible-ai-548743369729" TargetMode="External"/><Relationship Id="rId10" Type="http://schemas.openxmlformats.org/officeDocument/2006/relationships/hyperlink" Target="https://www.informationpolicycentre.com/uploads/5/7/1/0/57104281/cipl-hunton_andrews_kurth_legal_note_-_how_gdpr_regulates_ai__12_march_2020_.pdf" TargetMode="External"/><Relationship Id="rId4" Type="http://schemas.openxmlformats.org/officeDocument/2006/relationships/image" Target="media/image1.png"/><Relationship Id="rId9" Type="http://schemas.openxmlformats.org/officeDocument/2006/relationships/hyperlink" Target="https://www.lexalytics.com/lexablog/stories-ai-failure-avoid-ai-fails-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 PANDIAN RAMASAMY</dc:creator>
  <cp:keywords/>
  <dc:description/>
  <cp:lastModifiedBy>SELVA PANDIAN RAMASAMY</cp:lastModifiedBy>
  <cp:revision>20</cp:revision>
  <dcterms:created xsi:type="dcterms:W3CDTF">2021-12-05T16:43:00Z</dcterms:created>
  <dcterms:modified xsi:type="dcterms:W3CDTF">2021-12-05T18:31:00Z</dcterms:modified>
</cp:coreProperties>
</file>