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Shared Layer vs. Individual Applications per Process</w:t>
      </w:r>
    </w:p>
    <w:p>
      <w:pPr>
        <w:spacing w:after="200"/>
        <w:jc w:val="center"/>
      </w:pPr>
      <w:r>
        <w:rPr>
          <w:i/>
          <w:iCs/>
          <w:color w:val="555555"/>
          <w:sz w:val="20"/>
          <w:szCs w:val="20"/>
        </w:rPr>
        <w:t xml:space="preserve">Architecture Comparison for the Assurance Workbench Program — HCC</w:t>
      </w:r>
    </w:p>
    <w:p>
      <w:pPr>
        <w:spacing w:after="120"/>
      </w:pPr>
      <w:r>
        <w:rPr>
          <w:b/>
          <w:bCs/>
          <w:sz w:val="18"/>
          <w:szCs w:val="18"/>
        </w:rPr>
        <w:t xml:space="preserve">Context: </w:t>
      </w:r>
      <w:r>
        <w:rPr>
          <w:sz w:val="18"/>
          <w:szCs w:val="18"/>
        </w:rPr>
        <w:t xml:space="preserve">Pega Platform and Constellation already provide most of what this application needs out of the box — email intake, case management, AI classification, and modern UI. This decision is not about rebuilding those OOTB capabilities per process; it's about where HCC's own process-specific configuration and logic (classification rules, routing, case stages, integrations) should live: once in a shared foundation that every assurance process builds on, or duplicated inside a fully separate application per process.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1F3864" w:color="auto" w:val="clear"/>
            <w:tcMar>
              <w:top w:type="dxa" w:w="60"/>
              <w:left w:type="dxa" w:w="100"/>
              <w:bottom w:type="dxa" w:w="60"/>
              <w:right w:type="dxa" w:w="100"/>
            </w:tcMar>
            <w:vAlign w:val="center"/>
          </w:tcPr>
          <w:p>
            <w:r>
              <w:rPr>
                <w:b/>
                <w:bCs/>
                <w:color w:val="FFFFFF"/>
                <w:sz w:val="16"/>
                <w:szCs w:val="16"/>
              </w:rPr>
              <w:t xml:space="preserve">Dimension</w:t>
            </w:r>
          </w:p>
        </w:tc>
        <w:tc>
          <w:tcPr>
            <w:tcW w:type="dxa" w:w="3750"/>
            <w:shd w:fill="1F3864" w:color="auto" w:val="clear"/>
            <w:tcMar>
              <w:top w:type="dxa" w:w="60"/>
              <w:left w:type="dxa" w:w="100"/>
              <w:bottom w:type="dxa" w:w="60"/>
              <w:right w:type="dxa" w:w="100"/>
            </w:tcMar>
            <w:vAlign w:val="center"/>
          </w:tcPr>
          <w:p>
            <w:r>
              <w:rPr>
                <w:b/>
                <w:bCs/>
                <w:color w:val="FFFFFF"/>
                <w:sz w:val="16"/>
                <w:szCs w:val="16"/>
              </w:rPr>
              <w:t xml:space="preserve">Individual Application per Process</w:t>
            </w:r>
          </w:p>
        </w:tc>
        <w:tc>
          <w:tcPr>
            <w:tcW w:type="dxa" w:w="3750"/>
            <w:shd w:fill="1F3864" w:color="auto" w:val="clear"/>
            <w:tcMar>
              <w:top w:type="dxa" w:w="60"/>
              <w:left w:type="dxa" w:w="100"/>
              <w:bottom w:type="dxa" w:w="60"/>
              <w:right w:type="dxa" w:w="100"/>
            </w:tcMar>
            <w:vAlign w:val="center"/>
          </w:tcPr>
          <w:p>
            <w:r>
              <w:rPr>
                <w:b/>
                <w:bCs/>
                <w:color w:val="FFFFFF"/>
                <w:sz w:val="16"/>
                <w:szCs w:val="16"/>
              </w:rPr>
              <w:t xml:space="preserve">Shared Layer (Assurance Workbench)</w:t>
            </w:r>
          </w:p>
        </w:tc>
      </w:tr>
      <w:tr>
        <w:tc>
          <w:tcPr>
            <w:tcW w:type="dxa" w:w="1900"/>
            <w:shd w:fill="FFFFFF" w:color="auto" w:val="clear"/>
            <w:tcMar>
              <w:top w:type="dxa" w:w="60"/>
              <w:left w:type="dxa" w:w="100"/>
              <w:bottom w:type="dxa" w:w="60"/>
              <w:right w:type="dxa" w:w="100"/>
            </w:tcMar>
            <w:vAlign w:val="center"/>
          </w:tcPr>
          <w:p>
            <w:r>
              <w:rPr>
                <w:b/>
                <w:bCs/>
                <w:sz w:val="16"/>
                <w:szCs w:val="16"/>
              </w:rPr>
              <w:t xml:space="preserve">Time to launch first process</w:t>
            </w:r>
          </w:p>
        </w:tc>
        <w:tc>
          <w:tcPr>
            <w:tcW w:type="dxa" w:w="3750"/>
            <w:shd w:fill="FFFFFF" w:color="auto" w:val="clear"/>
            <w:tcMar>
              <w:top w:type="dxa" w:w="60"/>
              <w:left w:type="dxa" w:w="100"/>
              <w:bottom w:type="dxa" w:w="60"/>
              <w:right w:type="dxa" w:w="100"/>
            </w:tcMar>
            <w:vAlign w:val="center"/>
          </w:tcPr>
          <w:p>
            <w:r>
              <w:rPr>
                <w:b w:val="false"/>
                <w:bCs w:val="false"/>
                <w:sz w:val="16"/>
                <w:szCs w:val="16"/>
              </w:rPr>
              <w:t xml:space="preserve">Fastest — one application, nothing to design for reuse.</w:t>
            </w:r>
          </w:p>
        </w:tc>
        <w:tc>
          <w:tcPr>
            <w:tcW w:type="dxa" w:w="3750"/>
            <w:shd w:fill="D9EFE1" w:color="auto" w:val="clear"/>
            <w:tcMar>
              <w:top w:type="dxa" w:w="60"/>
              <w:left w:type="dxa" w:w="100"/>
              <w:bottom w:type="dxa" w:w="60"/>
              <w:right w:type="dxa" w:w="100"/>
            </w:tcMar>
            <w:vAlign w:val="center"/>
          </w:tcPr>
          <w:p>
            <w:r>
              <w:rPr>
                <w:b w:val="false"/>
                <w:bCs w:val="false"/>
                <w:sz w:val="16"/>
                <w:szCs w:val="16"/>
              </w:rPr>
              <w:t xml:space="preserve">Slower — must also define what stays shared before FC/COI can build.</w:t>
            </w:r>
          </w:p>
        </w:tc>
      </w:tr>
      <w:tr>
        <w:tc>
          <w:tcPr>
            <w:tcW w:type="dxa" w:w="1900"/>
            <w:shd w:fill="F2F6FA" w:color="auto" w:val="clear"/>
            <w:tcMar>
              <w:top w:type="dxa" w:w="60"/>
              <w:left w:type="dxa" w:w="100"/>
              <w:bottom w:type="dxa" w:w="60"/>
              <w:right w:type="dxa" w:w="100"/>
            </w:tcMar>
            <w:vAlign w:val="center"/>
          </w:tcPr>
          <w:p>
            <w:r>
              <w:rPr>
                <w:b/>
                <w:bCs/>
                <w:sz w:val="16"/>
                <w:szCs w:val="16"/>
              </w:rPr>
              <w:t xml:space="preserve">Time to launch each new process</w:t>
            </w:r>
          </w:p>
        </w:tc>
        <w:tc>
          <w:tcPr>
            <w:tcW w:type="dxa" w:w="3750"/>
            <w:shd w:fill="F2F6FA" w:color="auto" w:val="clear"/>
            <w:tcMar>
              <w:top w:type="dxa" w:w="60"/>
              <w:left w:type="dxa" w:w="100"/>
              <w:bottom w:type="dxa" w:w="60"/>
              <w:right w:type="dxa" w:w="100"/>
            </w:tcMar>
            <w:vAlign w:val="center"/>
          </w:tcPr>
          <w:p>
            <w:r>
              <w:rPr>
                <w:b w:val="false"/>
                <w:bCs w:val="false"/>
                <w:sz w:val="16"/>
                <w:szCs w:val="16"/>
              </w:rPr>
              <w:t xml:space="preserve">Slower over time — new team re-implements email intake, classification, routing.</w:t>
            </w:r>
          </w:p>
        </w:tc>
        <w:tc>
          <w:tcPr>
            <w:tcW w:type="dxa" w:w="3750"/>
            <w:shd w:fill="E2F3E8" w:color="auto" w:val="clear"/>
            <w:tcMar>
              <w:top w:type="dxa" w:w="60"/>
              <w:left w:type="dxa" w:w="100"/>
              <w:bottom w:type="dxa" w:w="60"/>
              <w:right w:type="dxa" w:w="100"/>
            </w:tcMar>
            <w:vAlign w:val="center"/>
          </w:tcPr>
          <w:p>
            <w:r>
              <w:rPr>
                <w:b w:val="false"/>
                <w:bCs w:val="false"/>
                <w:sz w:val="16"/>
                <w:szCs w:val="16"/>
              </w:rPr>
              <w:t xml:space="preserve">Fast — new process inherits case stages, AI classification, and routing rules already built.</w:t>
            </w:r>
          </w:p>
        </w:tc>
      </w:tr>
      <w:tr>
        <w:tc>
          <w:tcPr>
            <w:tcW w:type="dxa" w:w="1900"/>
            <w:shd w:fill="FFFFFF" w:color="auto" w:val="clear"/>
            <w:tcMar>
              <w:top w:type="dxa" w:w="60"/>
              <w:left w:type="dxa" w:w="100"/>
              <w:bottom w:type="dxa" w:w="60"/>
              <w:right w:type="dxa" w:w="100"/>
            </w:tcMar>
            <w:vAlign w:val="center"/>
          </w:tcPr>
          <w:p>
            <w:r>
              <w:rPr>
                <w:b/>
                <w:bCs/>
                <w:sz w:val="16"/>
                <w:szCs w:val="16"/>
              </w:rPr>
              <w:t xml:space="preserve">Reuse of process-specific code</w:t>
            </w:r>
          </w:p>
        </w:tc>
        <w:tc>
          <w:tcPr>
            <w:tcW w:type="dxa" w:w="3750"/>
            <w:shd w:fill="FFFFFF" w:color="auto" w:val="clear"/>
            <w:tcMar>
              <w:top w:type="dxa" w:w="60"/>
              <w:left w:type="dxa" w:w="100"/>
              <w:bottom w:type="dxa" w:w="60"/>
              <w:right w:type="dxa" w:w="100"/>
            </w:tcMar>
            <w:vAlign w:val="center"/>
          </w:tcPr>
          <w:p>
            <w:r>
              <w:rPr>
                <w:b w:val="false"/>
                <w:bCs w:val="false"/>
                <w:sz w:val="16"/>
                <w:szCs w:val="16"/>
              </w:rPr>
              <w:t xml:space="preserve">Low — sanctions logic, COI logic, and any future logic stay siloed per app.</w:t>
            </w:r>
          </w:p>
        </w:tc>
        <w:tc>
          <w:tcPr>
            <w:tcW w:type="dxa" w:w="3750"/>
            <w:shd w:fill="D9EFE1" w:color="auto" w:val="clear"/>
            <w:tcMar>
              <w:top w:type="dxa" w:w="60"/>
              <w:left w:type="dxa" w:w="100"/>
              <w:bottom w:type="dxa" w:w="60"/>
              <w:right w:type="dxa" w:w="100"/>
            </w:tcMar>
            <w:vAlign w:val="center"/>
          </w:tcPr>
          <w:p>
            <w:r>
              <w:rPr>
                <w:b w:val="false"/>
                <w:bCs w:val="false"/>
                <w:sz w:val="16"/>
                <w:szCs w:val="16"/>
              </w:rPr>
              <w:t xml:space="preserve">High — HCC-built logic (classification prompts, routing rules, case stages) is written once in Assurance Workbench and inherited by every process.</w:t>
            </w:r>
          </w:p>
        </w:tc>
      </w:tr>
      <w:tr>
        <w:tc>
          <w:tcPr>
            <w:tcW w:type="dxa" w:w="1900"/>
            <w:shd w:fill="F2F6FA" w:color="auto" w:val="clear"/>
            <w:tcMar>
              <w:top w:type="dxa" w:w="60"/>
              <w:left w:type="dxa" w:w="100"/>
              <w:bottom w:type="dxa" w:w="60"/>
              <w:right w:type="dxa" w:w="100"/>
            </w:tcMar>
            <w:vAlign w:val="center"/>
          </w:tcPr>
          <w:p>
            <w:r>
              <w:rPr>
                <w:b/>
                <w:bCs/>
                <w:sz w:val="16"/>
                <w:szCs w:val="16"/>
              </w:rPr>
              <w:t xml:space="preserve">Governance &amp; ownership</w:t>
            </w:r>
          </w:p>
        </w:tc>
        <w:tc>
          <w:tcPr>
            <w:tcW w:type="dxa" w:w="3750"/>
            <w:shd w:fill="F2F6FA" w:color="auto" w:val="clear"/>
            <w:tcMar>
              <w:top w:type="dxa" w:w="60"/>
              <w:left w:type="dxa" w:w="100"/>
              <w:bottom w:type="dxa" w:w="60"/>
              <w:right w:type="dxa" w:w="100"/>
            </w:tcMar>
            <w:vAlign w:val="center"/>
          </w:tcPr>
          <w:p>
            <w:r>
              <w:rPr>
                <w:b w:val="false"/>
                <w:bCs w:val="false"/>
                <w:sz w:val="16"/>
                <w:szCs w:val="16"/>
              </w:rPr>
              <w:t xml:space="preserve">Simple day one — each team owns everything end to end.</w:t>
            </w:r>
          </w:p>
        </w:tc>
        <w:tc>
          <w:tcPr>
            <w:tcW w:type="dxa" w:w="3750"/>
            <w:shd w:fill="E2F3E8" w:color="auto" w:val="clear"/>
            <w:tcMar>
              <w:top w:type="dxa" w:w="60"/>
              <w:left w:type="dxa" w:w="100"/>
              <w:bottom w:type="dxa" w:w="60"/>
              <w:right w:type="dxa" w:w="100"/>
            </w:tcMar>
            <w:vAlign w:val="center"/>
          </w:tcPr>
          <w:p>
            <w:r>
              <w:rPr>
                <w:b w:val="false"/>
                <w:bCs w:val="false"/>
                <w:sz w:val="16"/>
                <w:szCs w:val="16"/>
              </w:rPr>
              <w:t xml:space="preserve">Needs a light governance model — someone owns the shared layer and reviews changes that affect every process.</w:t>
            </w:r>
          </w:p>
        </w:tc>
      </w:tr>
      <w:tr>
        <w:tc>
          <w:tcPr>
            <w:tcW w:type="dxa" w:w="1900"/>
            <w:shd w:fill="FFFFFF" w:color="auto" w:val="clear"/>
            <w:tcMar>
              <w:top w:type="dxa" w:w="60"/>
              <w:left w:type="dxa" w:w="100"/>
              <w:bottom w:type="dxa" w:w="60"/>
              <w:right w:type="dxa" w:w="100"/>
            </w:tcMar>
            <w:vAlign w:val="center"/>
          </w:tcPr>
          <w:p>
            <w:r>
              <w:rPr>
                <w:b/>
                <w:bCs/>
                <w:sz w:val="16"/>
                <w:szCs w:val="16"/>
              </w:rPr>
              <w:t xml:space="preserve">Data footprint &amp; reporting</w:t>
            </w:r>
          </w:p>
        </w:tc>
        <w:tc>
          <w:tcPr>
            <w:tcW w:type="dxa" w:w="3750"/>
            <w:shd w:fill="FFFFFF" w:color="auto" w:val="clear"/>
            <w:tcMar>
              <w:top w:type="dxa" w:w="60"/>
              <w:left w:type="dxa" w:w="100"/>
              <w:bottom w:type="dxa" w:w="60"/>
              <w:right w:type="dxa" w:w="100"/>
            </w:tcMar>
            <w:vAlign w:val="center"/>
          </w:tcPr>
          <w:p>
            <w:r>
              <w:rPr>
                <w:b w:val="false"/>
                <w:bCs w:val="false"/>
                <w:sz w:val="16"/>
                <w:szCs w:val="16"/>
              </w:rPr>
              <w:t xml:space="preserve">Fragmented — separate tables/case types make a single cross-process compliance view harder to build.</w:t>
            </w:r>
          </w:p>
        </w:tc>
        <w:tc>
          <w:tcPr>
            <w:tcW w:type="dxa" w:w="3750"/>
            <w:shd w:fill="D9EFE1" w:color="auto" w:val="clear"/>
            <w:tcMar>
              <w:top w:type="dxa" w:w="60"/>
              <w:left w:type="dxa" w:w="100"/>
              <w:bottom w:type="dxa" w:w="60"/>
              <w:right w:type="dxa" w:w="100"/>
            </w:tcMar>
            <w:vAlign w:val="center"/>
          </w:tcPr>
          <w:p>
            <w:r>
              <w:rPr>
                <w:b w:val="false"/>
                <w:bCs w:val="false"/>
                <w:sz w:val="16"/>
                <w:szCs w:val="16"/>
              </w:rPr>
              <w:t xml:space="preserve">Consolidated — one shared case table (Class Group) and one reporting model across Financial Crime, COI, and future processes.</w:t>
            </w:r>
          </w:p>
        </w:tc>
      </w:tr>
      <w:tr>
        <w:tc>
          <w:tcPr>
            <w:tcW w:type="dxa" w:w="1900"/>
            <w:shd w:fill="F2F6FA" w:color="auto" w:val="clear"/>
            <w:tcMar>
              <w:top w:type="dxa" w:w="60"/>
              <w:left w:type="dxa" w:w="100"/>
              <w:bottom w:type="dxa" w:w="60"/>
              <w:right w:type="dxa" w:w="100"/>
            </w:tcMar>
            <w:vAlign w:val="center"/>
          </w:tcPr>
          <w:p>
            <w:r>
              <w:rPr>
                <w:b/>
                <w:bCs/>
                <w:sz w:val="16"/>
                <w:szCs w:val="16"/>
              </w:rPr>
              <w:t xml:space="preserve">Risk if one process changes</w:t>
            </w:r>
          </w:p>
        </w:tc>
        <w:tc>
          <w:tcPr>
            <w:tcW w:type="dxa" w:w="3750"/>
            <w:shd w:fill="F2F6FA" w:color="auto" w:val="clear"/>
            <w:tcMar>
              <w:top w:type="dxa" w:w="60"/>
              <w:left w:type="dxa" w:w="100"/>
              <w:bottom w:type="dxa" w:w="60"/>
              <w:right w:type="dxa" w:w="100"/>
            </w:tcMar>
            <w:vAlign w:val="center"/>
          </w:tcPr>
          <w:p>
            <w:r>
              <w:rPr>
                <w:b w:val="false"/>
                <w:bCs w:val="false"/>
                <w:sz w:val="16"/>
                <w:szCs w:val="16"/>
              </w:rPr>
              <w:t xml:space="preserve">Contained — a change to Sanctions logic cannot break COI.</w:t>
            </w:r>
          </w:p>
        </w:tc>
        <w:tc>
          <w:tcPr>
            <w:tcW w:type="dxa" w:w="3750"/>
            <w:shd w:fill="E2F3E8" w:color="auto" w:val="clear"/>
            <w:tcMar>
              <w:top w:type="dxa" w:w="60"/>
              <w:left w:type="dxa" w:w="100"/>
              <w:bottom w:type="dxa" w:w="60"/>
              <w:right w:type="dxa" w:w="100"/>
            </w:tcMar>
            <w:vAlign w:val="center"/>
          </w:tcPr>
          <w:p>
            <w:r>
              <w:rPr>
                <w:b w:val="false"/>
                <w:bCs w:val="false"/>
                <w:sz w:val="16"/>
                <w:szCs w:val="16"/>
              </w:rPr>
              <w:t xml:space="preserve">Low but not zero — changes to the shared layer are tested once against all processes; discipline is required to avoid regressions.</w:t>
            </w:r>
          </w:p>
        </w:tc>
      </w:tr>
      <w:tr>
        <w:tc>
          <w:tcPr>
            <w:tcW w:type="dxa" w:w="1900"/>
            <w:shd w:fill="FFFFFF" w:color="auto" w:val="clear"/>
            <w:tcMar>
              <w:top w:type="dxa" w:w="60"/>
              <w:left w:type="dxa" w:w="100"/>
              <w:bottom w:type="dxa" w:w="60"/>
              <w:right w:type="dxa" w:w="100"/>
            </w:tcMar>
            <w:vAlign w:val="center"/>
          </w:tcPr>
          <w:p>
            <w:r>
              <w:rPr>
                <w:b/>
                <w:bCs/>
                <w:sz w:val="16"/>
                <w:szCs w:val="16"/>
              </w:rPr>
              <w:t xml:space="preserve">Cost over 3–5 years</w:t>
            </w:r>
          </w:p>
        </w:tc>
        <w:tc>
          <w:tcPr>
            <w:tcW w:type="dxa" w:w="3750"/>
            <w:shd w:fill="FFFFFF" w:color="auto" w:val="clear"/>
            <w:tcMar>
              <w:top w:type="dxa" w:w="60"/>
              <w:left w:type="dxa" w:w="100"/>
              <w:bottom w:type="dxa" w:w="60"/>
              <w:right w:type="dxa" w:w="100"/>
            </w:tcMar>
            <w:vAlign w:val="center"/>
          </w:tcPr>
          <w:p>
            <w:r>
              <w:rPr>
                <w:b w:val="false"/>
                <w:bCs w:val="false"/>
                <w:sz w:val="16"/>
                <w:szCs w:val="16"/>
              </w:rPr>
              <w:t xml:space="preserve">Rises — every new assurance process (Whistleblowing, Gifts &amp; Entertainment, etc.) is a near-full rebuild.</w:t>
            </w:r>
          </w:p>
        </w:tc>
        <w:tc>
          <w:tcPr>
            <w:tcW w:type="dxa" w:w="3750"/>
            <w:shd w:fill="D9EFE1" w:color="auto" w:val="clear"/>
            <w:tcMar>
              <w:top w:type="dxa" w:w="60"/>
              <w:left w:type="dxa" w:w="100"/>
              <w:bottom w:type="dxa" w:w="60"/>
              <w:right w:type="dxa" w:w="100"/>
            </w:tcMar>
            <w:vAlign w:val="center"/>
          </w:tcPr>
          <w:p>
            <w:r>
              <w:rPr>
                <w:b w:val="false"/>
                <w:bCs w:val="false"/>
                <w:sz w:val="16"/>
                <w:szCs w:val="16"/>
              </w:rPr>
              <w:t xml:space="preserve">Falls — each new process is mostly configuration on top of a proven shared foundation.</w:t>
            </w:r>
          </w:p>
        </w:tc>
      </w:tr>
      <w:tr>
        <w:tc>
          <w:tcPr>
            <w:tcW w:type="dxa" w:w="1900"/>
            <w:shd w:fill="F2F6FA" w:color="auto" w:val="clear"/>
            <w:tcMar>
              <w:top w:type="dxa" w:w="60"/>
              <w:left w:type="dxa" w:w="100"/>
              <w:bottom w:type="dxa" w:w="60"/>
              <w:right w:type="dxa" w:w="100"/>
            </w:tcMar>
            <w:vAlign w:val="center"/>
          </w:tcPr>
          <w:p>
            <w:r>
              <w:rPr>
                <w:b/>
                <w:bCs/>
                <w:sz w:val="16"/>
                <w:szCs w:val="16"/>
              </w:rPr>
              <w:t xml:space="preserve">Flexibility for a process that genuinely differs</w:t>
            </w:r>
          </w:p>
        </w:tc>
        <w:tc>
          <w:tcPr>
            <w:tcW w:type="dxa" w:w="3750"/>
            <w:shd w:fill="F2F6FA" w:color="auto" w:val="clear"/>
            <w:tcMar>
              <w:top w:type="dxa" w:w="60"/>
              <w:left w:type="dxa" w:w="100"/>
              <w:bottom w:type="dxa" w:w="60"/>
              <w:right w:type="dxa" w:w="100"/>
            </w:tcMar>
            <w:vAlign w:val="center"/>
          </w:tcPr>
          <w:p>
            <w:r>
              <w:rPr>
                <w:b w:val="false"/>
                <w:bCs w:val="false"/>
                <w:sz w:val="16"/>
                <w:szCs w:val="16"/>
              </w:rPr>
              <w:t xml:space="preserve">High — nothing to unwind if a process needs a very different flow.</w:t>
            </w:r>
          </w:p>
        </w:tc>
        <w:tc>
          <w:tcPr>
            <w:tcW w:type="dxa" w:w="3750"/>
            <w:shd w:fill="E2F3E8" w:color="auto" w:val="clear"/>
            <w:tcMar>
              <w:top w:type="dxa" w:w="60"/>
              <w:left w:type="dxa" w:w="100"/>
              <w:bottom w:type="dxa" w:w="60"/>
              <w:right w:type="dxa" w:w="100"/>
            </w:tcMar>
            <w:vAlign w:val="center"/>
          </w:tcPr>
          <w:p>
            <w:r>
              <w:rPr>
                <w:b w:val="false"/>
                <w:bCs w:val="false"/>
                <w:sz w:val="16"/>
                <w:szCs w:val="16"/>
              </w:rPr>
              <w:t xml:space="preserve">Still possible — a process can override or extend shared stages, but very unusual processes are the exception, not the design center.</w:t>
            </w:r>
          </w:p>
        </w:tc>
      </w:tr>
    </w:tbl>
    <w:p>
      <w:pPr>
        <w:spacing w:after="80" w:before="200"/>
      </w:pPr>
      <w:r>
        <w:rPr>
          <w:b/>
          <w:bCs/>
          <w:color w:val="1F3864"/>
          <w:sz w:val="19"/>
          <w:szCs w:val="19"/>
        </w:rPr>
        <w:t xml:space="preserve">Short-term view (first 1–2 processes: Financial Crime, Conflict of Interest)</w:t>
      </w:r>
    </w:p>
    <w:p>
      <w:pPr>
        <w:spacing w:after="160"/>
      </w:pPr>
      <w:r>
        <w:rPr>
          <w:sz w:val="18"/>
          <w:szCs w:val="18"/>
        </w:rPr>
        <w:t xml:space="preserve">The two approaches cost roughly the same to stand up. A shared layer adds a small amount of upfront design work (defining what's common vs. process-specific) but is not materially slower to deliver Financial Crime and COI.</w:t>
      </w:r>
    </w:p>
    <w:p>
      <w:pPr>
        <w:spacing w:after="80"/>
      </w:pPr>
      <w:r>
        <w:rPr>
          <w:b/>
          <w:bCs/>
          <w:color w:val="1F3864"/>
          <w:sz w:val="19"/>
          <w:szCs w:val="19"/>
        </w:rPr>
        <w:t xml:space="preserve">Long-term view (3+ processes: Whistleblowing, Gifts &amp; Entertainment, future regulatory needs)</w:t>
      </w:r>
    </w:p>
    <w:p>
      <w:pPr>
        <w:spacing w:after="160"/>
      </w:pPr>
      <w:r>
        <w:rPr>
          <w:sz w:val="18"/>
          <w:szCs w:val="18"/>
        </w:rPr>
        <w:t xml:space="preserve">The gap widens with every new process. A shared layer turns each new assurance process into a configuration exercise on a proven foundation; separate applications turn each one into a near-full rebuild — repeating the same email intake, AI classification, and routing work, and fragmenting reporting further each time.</w:t>
      </w:r>
    </w:p>
    <w:p>
      <w:pPr>
        <w:pBdr>
          <w:top w:val="single" w:color="1F3864" w:sz="6" w:space="8"/>
        </w:pBdr>
        <w:spacing w:before="100"/>
      </w:pPr>
      <w:r>
        <w:rPr>
          <w:b/>
          <w:bCs/>
          <w:color w:val="1F3864"/>
          <w:sz w:val="18"/>
          <w:szCs w:val="18"/>
        </w:rPr>
        <w:t xml:space="preserve">Recommendation: </w:t>
      </w:r>
      <w:r>
        <w:rPr>
          <w:sz w:val="18"/>
          <w:szCs w:val="18"/>
        </w:rPr>
        <w:t xml:space="preserve">Adopt the shared-layer model (Assurance Workbench) as the default foundation for all assurance processes, with individual processes free to extend or override shared stages where their requirements genuinely diverge. This captures the reuse benefit for the common ~80% of case management logic while preserving flexibility for the ~20% that is process-specific.</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2026-09-08T04:46:29.755Z</dcterms:created>
  <dcterms:modified xsi:type="dcterms:W3CDTF">2026-09-08T04:46:29.769Z</dcterms:modified>
</cp:coreProperties>
</file>

<file path=docProps/custom.xml><?xml version="1.0" encoding="utf-8"?>
<Properties xmlns="http://schemas.openxmlformats.org/officeDocument/2006/custom-properties" xmlns:vt="http://schemas.openxmlformats.org/officeDocument/2006/docPropsVTypes"/>
</file>