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44"/>
          <w:szCs w:val="44"/>
        </w:rPr>
        <w:t xml:space="preserve">TRINITY MILITARY CLAIMS</w:t>
      </w:r>
    </w:p>
    <w:p>
      <w:pPr>
        <w:spacing w:after="40" w:before="120"/>
        <w:jc w:val="center"/>
      </w:pPr>
      <w:r>
        <w:rPr>
          <w:b/>
          <w:bCs/>
          <w:color w:val="B8860B"/>
          <w:sz w:val="30"/>
          <w:szCs w:val="30"/>
        </w:rPr>
        <w:t xml:space="preserve">Digital Claims Intake &amp; Processing Platform</w:t>
      </w:r>
    </w:p>
    <w:p>
      <w:pPr>
        <w:spacing w:after="40" w:before="40"/>
        <w:jc w:val="center"/>
      </w:pPr>
      <w:r>
        <w:rPr>
          <w:i/>
          <w:iCs/>
          <w:color w:val="595959"/>
          <w:sz w:val="22"/>
          <w:szCs w:val="22"/>
        </w:rPr>
        <w:t xml:space="preserve">Built on Pega Infinity 25.1.3 (Constellation)</w:t>
      </w:r>
    </w:p>
    <w:p>
      <w:pPr>
        <w:spacing w:before="500"/>
        <w:jc w:val="center"/>
      </w:pPr>
      <w:r>
        <w:rPr>
          <w:b/>
          <w:bCs/>
          <w:color w:val="262626"/>
          <w:sz w:val="26"/>
          <w:szCs w:val="26"/>
        </w:rPr>
        <w:t xml:space="preserve">Business Outcomes &amp; Benefits Summary</w:t>
      </w:r>
    </w:p>
    <w:p>
      <w:pPr>
        <w:spacing w:before="80"/>
        <w:jc w:val="center"/>
      </w:pPr>
      <w:r>
        <w:rPr>
          <w:color w:val="595959"/>
          <w:sz w:val="20"/>
          <w:szCs w:val="20"/>
        </w:rPr>
        <w:t xml:space="preserve">Prepared for Stakeholder &amp; Leadership Review</w:t>
      </w:r>
    </w:p>
    <w:p>
      <w:pPr>
        <w:spacing w:before="800"/>
        <w:jc w:val="center"/>
      </w:pPr>
      <w:r>
        <w:rPr>
          <w:b/>
          <w:bCs/>
          <w:color w:val="1F3864"/>
          <w:sz w:val="22"/>
          <w:szCs w:val="22"/>
        </w:rPr>
        <w:t xml:space="preserve">MVP1 Delivered  |  Future Roadmap: MVP2+</w:t>
      </w:r>
    </w:p>
    <w:p>
      <w:pPr>
        <w:pageBreakBefore/>
      </w:pPr>
      <w:r>
        <w:br/>
        <w:t xml:space="preserve"/>
      </w:r>
    </w:p>
    <w:p>
      <w:pPr>
        <w:pStyle w:val="Heading1"/>
        <w:pBdr>
          <w:bottom w:val="single" w:color="1F3864" w:sz="6" w:space="4"/>
        </w:pBdr>
        <w:spacing w:after="160" w:before="320"/>
      </w:pPr>
      <w:r>
        <w:rPr>
          <w:b/>
          <w:bCs/>
          <w:color w:val="1F3864"/>
          <w:sz w:val="26"/>
          <w:szCs w:val="26"/>
        </w:rPr>
        <w:t xml:space="preserve">Executive Summary</w:t>
      </w:r>
    </w:p>
    <w:p>
      <w:pPr>
        <w:spacing w:after="120"/>
      </w:pPr>
      <w:r>
        <w:rPr>
          <w:color w:val="262626"/>
          <w:sz w:val="21"/>
          <w:szCs w:val="21"/>
        </w:rPr>
        <w:t xml:space="preserve">Trinity Military Claims previously handled every claim through manual phone calls and email exchanges, followed by manual case creation and manual policy assessment. This was slow, inconsistent, and heavily dependent on claim handler bandwidth.</w:t>
      </w:r>
    </w:p>
    <w:p>
      <w:pPr>
        <w:spacing w:after="120"/>
      </w:pPr>
      <w:r>
        <w:rPr>
          <w:color w:val="262626"/>
          <w:sz w:val="21"/>
          <w:szCs w:val="21"/>
        </w:rPr>
        <w:t xml:space="preserve">We have designed and delivered a self-service digital claims platform on Pega Infinity, giving policyholders (and their authorised representatives) a guided online journey to submit claims — with automated validation, AI-assisted evidence review, and automated coordination with Trinity for policy details. This removes manual, repetitive effort at the front end of the process and gives claim handlers a structured, ready-to-assess case from the moment a claim is submitted.</w:t>
      </w:r>
    </w:p>
    <w:p>
      <w:pPr>
        <w:spacing w:after="200" w:before="120"/>
      </w:pPr>
      <w:r>
        <w:rPr>
          <w:b/>
          <w:bCs/>
          <w:color w:val="1F3864"/>
          <w:sz w:val="21"/>
          <w:szCs w:val="21"/>
        </w:rPr>
        <w:t xml:space="preserve">Bottom line: </w:t>
      </w:r>
      <w:r>
        <w:rPr>
          <w:color w:val="262626"/>
          <w:sz w:val="21"/>
          <w:szCs w:val="21"/>
        </w:rPr>
        <w:t xml:space="preserve">Faster claim intake, fewer errors, less manual chasing, better claimant experience, and a foundation ready for full automation with Libra and AI-driven decisioning.</w:t>
      </w:r>
    </w:p>
    <w:p>
      <w:pPr>
        <w:pStyle w:val="Heading1"/>
        <w:pBdr>
          <w:bottom w:val="single" w:color="1F3864" w:sz="6" w:space="4"/>
        </w:pBdr>
        <w:spacing w:after="160" w:before="320"/>
      </w:pPr>
      <w:r>
        <w:rPr>
          <w:b/>
          <w:bCs/>
          <w:color w:val="1F3864"/>
          <w:sz w:val="26"/>
          <w:szCs w:val="26"/>
        </w:rPr>
        <w:t xml:space="preserve">From Manual Process to Digital Self-Service: Before vs. After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F3864" w:val="clear"/>
            <w:tcMar>
              <w:top w:type="dxa" w:w="100"/>
              <w:left w:type="dxa" w:w="120"/>
              <w:bottom w:type="dxa" w:w="100"/>
              <w:right w:type="dxa" w:w="120"/>
            </w:tcMar>
          </w:tcPr>
          <w:p>
            <w:pPr>
              <w:jc w:val="left"/>
            </w:pPr>
            <w:r>
              <w:rPr>
                <w:b/>
                <w:bCs/>
                <w:color w:val="FFFFFF"/>
                <w:sz w:val="20"/>
                <w:szCs w:val="20"/>
              </w:rPr>
              <w:t xml:space="preserve">Area</w:t>
            </w:r>
          </w:p>
        </w:tc>
        <w:tc>
          <w:tcPr>
            <w:tcW w:type="dxa" w:w="3600"/>
            <w:shd w:fill="1F3864" w:val="clear"/>
            <w:tcMar>
              <w:top w:type="dxa" w:w="100"/>
              <w:left w:type="dxa" w:w="120"/>
              <w:bottom w:type="dxa" w:w="100"/>
              <w:right w:type="dxa" w:w="120"/>
            </w:tcMar>
          </w:tcPr>
          <w:p>
            <w:pPr>
              <w:jc w:val="left"/>
            </w:pPr>
            <w:r>
              <w:rPr>
                <w:b/>
                <w:bCs/>
                <w:color w:val="FFFFFF"/>
                <w:sz w:val="20"/>
                <w:szCs w:val="20"/>
              </w:rPr>
              <w:t xml:space="preserve">Today (Manual Process)</w:t>
            </w:r>
          </w:p>
        </w:tc>
        <w:tc>
          <w:tcPr>
            <w:tcW w:type="dxa" w:w="3600"/>
            <w:shd w:fill="1F3864" w:val="clear"/>
            <w:tcMar>
              <w:top w:type="dxa" w:w="100"/>
              <w:left w:type="dxa" w:w="120"/>
              <w:bottom w:type="dxa" w:w="100"/>
              <w:right w:type="dxa" w:w="120"/>
            </w:tcMar>
          </w:tcPr>
          <w:p>
            <w:pPr>
              <w:jc w:val="left"/>
            </w:pPr>
            <w:r>
              <w:rPr>
                <w:b/>
                <w:bCs/>
                <w:color w:val="FFFFFF"/>
                <w:sz w:val="20"/>
                <w:szCs w:val="20"/>
              </w:rPr>
              <w:t xml:space="preserve">With Pega Platform (MVP1)</w:t>
            </w:r>
          </w:p>
        </w:tc>
      </w:tr>
      <w:tr>
        <w:tc>
          <w:tcPr>
            <w:tcW w:type="dxa" w:w="2200"/>
            <w:shd w:fill="F2F2F2" w:val="clear"/>
            <w:tcMar>
              <w:top w:type="dxa" w:w="100"/>
              <w:left w:type="dxa" w:w="120"/>
              <w:bottom w:type="dxa" w:w="100"/>
              <w:right w:type="dxa" w:w="120"/>
            </w:tcMar>
          </w:tcPr>
          <w:p>
            <w:pPr>
              <w:jc w:val="left"/>
            </w:pPr>
            <w:r>
              <w:rPr>
                <w:b/>
                <w:bCs/>
                <w:color w:val="262626"/>
                <w:sz w:val="20"/>
                <w:szCs w:val="20"/>
              </w:rPr>
              <w:t xml:space="preserve">Claim initiation</w:t>
            </w:r>
          </w:p>
        </w:tc>
        <w:tc>
          <w:tcPr>
            <w:tcW w:type="dxa" w:w="3600"/>
            <w:tcMar>
              <w:top w:type="dxa" w:w="100"/>
              <w:left w:type="dxa" w:w="120"/>
              <w:bottom w:type="dxa" w:w="100"/>
              <w:right w:type="dxa" w:w="120"/>
            </w:tcMar>
          </w:tcPr>
          <w:p>
            <w:pPr>
              <w:jc w:val="left"/>
            </w:pPr>
            <w:r>
              <w:rPr>
                <w:b w:val="false"/>
                <w:bCs w:val="false"/>
                <w:color w:val="7A1F1F"/>
                <w:sz w:val="20"/>
                <w:szCs w:val="20"/>
              </w:rPr>
              <w:t xml:space="preserve">Claimant must call or email a shared DL — no self-service option</w:t>
            </w:r>
          </w:p>
        </w:tc>
        <w:tc>
          <w:tcPr>
            <w:tcW w:type="dxa" w:w="3600"/>
            <w:tcMar>
              <w:top w:type="dxa" w:w="100"/>
              <w:left w:type="dxa" w:w="120"/>
              <w:bottom w:type="dxa" w:w="100"/>
              <w:right w:type="dxa" w:w="120"/>
            </w:tcMar>
          </w:tcPr>
          <w:p>
            <w:pPr>
              <w:jc w:val="left"/>
            </w:pPr>
            <w:r>
              <w:rPr>
                <w:b w:val="false"/>
                <w:bCs w:val="false"/>
                <w:color w:val="2E7D32"/>
                <w:sz w:val="20"/>
                <w:szCs w:val="20"/>
              </w:rPr>
              <w:t xml:space="preserve">Anonymous self-service web portal, accessible directly from talktotrinity.com</w:t>
            </w:r>
          </w:p>
        </w:tc>
      </w:tr>
      <w:tr>
        <w:tc>
          <w:tcPr>
            <w:tcW w:type="dxa" w:w="2200"/>
            <w:shd w:fill="F2F2F2" w:val="clear"/>
            <w:tcMar>
              <w:top w:type="dxa" w:w="100"/>
              <w:left w:type="dxa" w:w="120"/>
              <w:bottom w:type="dxa" w:w="100"/>
              <w:right w:type="dxa" w:w="120"/>
            </w:tcMar>
          </w:tcPr>
          <w:p>
            <w:pPr>
              <w:jc w:val="left"/>
            </w:pPr>
            <w:r>
              <w:rPr>
                <w:b/>
                <w:bCs/>
                <w:color w:val="262626"/>
                <w:sz w:val="20"/>
                <w:szCs w:val="20"/>
              </w:rPr>
              <w:t xml:space="preserve">Claim intake</w:t>
            </w:r>
          </w:p>
        </w:tc>
        <w:tc>
          <w:tcPr>
            <w:tcW w:type="dxa" w:w="3600"/>
            <w:tcMar>
              <w:top w:type="dxa" w:w="100"/>
              <w:left w:type="dxa" w:w="120"/>
              <w:bottom w:type="dxa" w:w="100"/>
              <w:right w:type="dxa" w:w="120"/>
            </w:tcMar>
          </w:tcPr>
          <w:p>
            <w:pPr>
              <w:jc w:val="left"/>
            </w:pPr>
            <w:r>
              <w:rPr>
                <w:b w:val="false"/>
                <w:bCs w:val="false"/>
                <w:color w:val="7A1F1F"/>
                <w:sz w:val="20"/>
                <w:szCs w:val="20"/>
              </w:rPr>
              <w:t xml:space="preserve">Details captured piecemeal over multiple calls/emails</w:t>
            </w:r>
          </w:p>
        </w:tc>
        <w:tc>
          <w:tcPr>
            <w:tcW w:type="dxa" w:w="3600"/>
            <w:tcMar>
              <w:top w:type="dxa" w:w="100"/>
              <w:left w:type="dxa" w:w="120"/>
              <w:bottom w:type="dxa" w:w="100"/>
              <w:right w:type="dxa" w:w="120"/>
            </w:tcMar>
          </w:tcPr>
          <w:p>
            <w:pPr>
              <w:jc w:val="left"/>
            </w:pPr>
            <w:r>
              <w:rPr>
                <w:b w:val="false"/>
                <w:bCs w:val="false"/>
                <w:color w:val="2E7D32"/>
                <w:sz w:val="20"/>
                <w:szCs w:val="20"/>
              </w:rPr>
              <w:t xml:space="preserve">Single guided 4-screen intake form (Your Details, What Happened, Items Affected, Evidence)</w:t>
            </w:r>
          </w:p>
        </w:tc>
      </w:tr>
      <w:tr>
        <w:tc>
          <w:tcPr>
            <w:tcW w:type="dxa" w:w="2200"/>
            <w:shd w:fill="F2F2F2" w:val="clear"/>
            <w:tcMar>
              <w:top w:type="dxa" w:w="100"/>
              <w:left w:type="dxa" w:w="120"/>
              <w:bottom w:type="dxa" w:w="100"/>
              <w:right w:type="dxa" w:w="120"/>
            </w:tcMar>
          </w:tcPr>
          <w:p>
            <w:pPr>
              <w:jc w:val="left"/>
            </w:pPr>
            <w:r>
              <w:rPr>
                <w:b/>
                <w:bCs/>
                <w:color w:val="262626"/>
                <w:sz w:val="20"/>
                <w:szCs w:val="20"/>
              </w:rPr>
              <w:t xml:space="preserve">Who can claim</w:t>
            </w:r>
          </w:p>
        </w:tc>
        <w:tc>
          <w:tcPr>
            <w:tcW w:type="dxa" w:w="3600"/>
            <w:tcMar>
              <w:top w:type="dxa" w:w="100"/>
              <w:left w:type="dxa" w:w="120"/>
              <w:bottom w:type="dxa" w:w="100"/>
              <w:right w:type="dxa" w:w="120"/>
            </w:tcMar>
          </w:tcPr>
          <w:p>
            <w:pPr>
              <w:jc w:val="left"/>
            </w:pPr>
            <w:r>
              <w:rPr>
                <w:b w:val="false"/>
                <w:bCs w:val="false"/>
                <w:color w:val="7A1F1F"/>
                <w:sz w:val="20"/>
                <w:szCs w:val="20"/>
              </w:rPr>
              <w:t xml:space="preserve">Ambiguous, handled ad hoc over email</w:t>
            </w:r>
          </w:p>
        </w:tc>
        <w:tc>
          <w:tcPr>
            <w:tcW w:type="dxa" w:w="3600"/>
            <w:tcMar>
              <w:top w:type="dxa" w:w="100"/>
              <w:left w:type="dxa" w:w="120"/>
              <w:bottom w:type="dxa" w:w="100"/>
              <w:right w:type="dxa" w:w="120"/>
            </w:tcMar>
          </w:tcPr>
          <w:p>
            <w:pPr>
              <w:jc w:val="left"/>
            </w:pPr>
            <w:r>
              <w:rPr>
                <w:b w:val="false"/>
                <w:bCs w:val="false"/>
                <w:color w:val="2E7D32"/>
                <w:sz w:val="20"/>
                <w:szCs w:val="20"/>
              </w:rPr>
              <w:t xml:space="preserve">Formal support for policyholder, spouse, dependent, or authorised representative</w:t>
            </w:r>
          </w:p>
        </w:tc>
      </w:tr>
      <w:tr>
        <w:tc>
          <w:tcPr>
            <w:tcW w:type="dxa" w:w="2200"/>
            <w:shd w:fill="F2F2F2" w:val="clear"/>
            <w:tcMar>
              <w:top w:type="dxa" w:w="100"/>
              <w:left w:type="dxa" w:w="120"/>
              <w:bottom w:type="dxa" w:w="100"/>
              <w:right w:type="dxa" w:w="120"/>
            </w:tcMar>
          </w:tcPr>
          <w:p>
            <w:pPr>
              <w:jc w:val="left"/>
            </w:pPr>
            <w:r>
              <w:rPr>
                <w:b/>
                <w:bCs/>
                <w:color w:val="262626"/>
                <w:sz w:val="20"/>
                <w:szCs w:val="20"/>
              </w:rPr>
              <w:t xml:space="preserve">Accessibility &amp; reach</w:t>
            </w:r>
          </w:p>
        </w:tc>
        <w:tc>
          <w:tcPr>
            <w:tcW w:type="dxa" w:w="3600"/>
            <w:tcMar>
              <w:top w:type="dxa" w:w="100"/>
              <w:left w:type="dxa" w:w="120"/>
              <w:bottom w:type="dxa" w:w="100"/>
              <w:right w:type="dxa" w:w="120"/>
            </w:tcMar>
          </w:tcPr>
          <w:p>
            <w:pPr>
              <w:jc w:val="left"/>
            </w:pPr>
            <w:r>
              <w:rPr>
                <w:b w:val="false"/>
                <w:bCs w:val="false"/>
                <w:color w:val="7A1F1F"/>
                <w:sz w:val="20"/>
                <w:szCs w:val="20"/>
              </w:rPr>
              <w:t xml:space="preserve">Phone/email only; no device flexibility</w:t>
            </w:r>
          </w:p>
        </w:tc>
        <w:tc>
          <w:tcPr>
            <w:tcW w:type="dxa" w:w="3600"/>
            <w:tcMar>
              <w:top w:type="dxa" w:w="100"/>
              <w:left w:type="dxa" w:w="120"/>
              <w:bottom w:type="dxa" w:w="100"/>
              <w:right w:type="dxa" w:w="120"/>
            </w:tcMar>
          </w:tcPr>
          <w:p>
            <w:pPr>
              <w:jc w:val="left"/>
            </w:pPr>
            <w:r>
              <w:rPr>
                <w:b w:val="false"/>
                <w:bCs w:val="false"/>
                <w:color w:val="2E7D32"/>
                <w:sz w:val="20"/>
                <w:szCs w:val="20"/>
              </w:rPr>
              <w:t xml:space="preserve">Responsive across Web, Tablet, Mobile; WCAG-compliant for accessibility</w:t>
            </w:r>
          </w:p>
        </w:tc>
      </w:tr>
      <w:tr>
        <w:tc>
          <w:tcPr>
            <w:tcW w:type="dxa" w:w="2200"/>
            <w:shd w:fill="F2F2F2" w:val="clear"/>
            <w:tcMar>
              <w:top w:type="dxa" w:w="100"/>
              <w:left w:type="dxa" w:w="120"/>
              <w:bottom w:type="dxa" w:w="100"/>
              <w:right w:type="dxa" w:w="120"/>
            </w:tcMar>
          </w:tcPr>
          <w:p>
            <w:pPr>
              <w:jc w:val="left"/>
            </w:pPr>
            <w:r>
              <w:rPr>
                <w:b/>
                <w:bCs/>
                <w:color w:val="262626"/>
                <w:sz w:val="20"/>
                <w:szCs w:val="20"/>
              </w:rPr>
              <w:t xml:space="preserve">Duplicate claims</w:t>
            </w:r>
          </w:p>
        </w:tc>
        <w:tc>
          <w:tcPr>
            <w:tcW w:type="dxa" w:w="3600"/>
            <w:tcMar>
              <w:top w:type="dxa" w:w="100"/>
              <w:left w:type="dxa" w:w="120"/>
              <w:bottom w:type="dxa" w:w="100"/>
              <w:right w:type="dxa" w:w="120"/>
            </w:tcMar>
          </w:tcPr>
          <w:p>
            <w:pPr>
              <w:jc w:val="left"/>
            </w:pPr>
            <w:r>
              <w:rPr>
                <w:b w:val="false"/>
                <w:bCs w:val="false"/>
                <w:color w:val="7A1F1F"/>
                <w:sz w:val="20"/>
                <w:szCs w:val="20"/>
              </w:rPr>
              <w:t xml:space="preserve">Identified manually, if at all</w:t>
            </w:r>
          </w:p>
        </w:tc>
        <w:tc>
          <w:tcPr>
            <w:tcW w:type="dxa" w:w="3600"/>
            <w:tcMar>
              <w:top w:type="dxa" w:w="100"/>
              <w:left w:type="dxa" w:w="120"/>
              <w:bottom w:type="dxa" w:w="100"/>
              <w:right w:type="dxa" w:w="120"/>
            </w:tcMar>
          </w:tcPr>
          <w:p>
            <w:pPr>
              <w:jc w:val="left"/>
            </w:pPr>
            <w:r>
              <w:rPr>
                <w:b w:val="false"/>
                <w:bCs w:val="false"/>
                <w:color w:val="2E7D32"/>
                <w:sz w:val="20"/>
                <w:szCs w:val="20"/>
              </w:rPr>
              <w:t xml:space="preserve">Automated duplicate check at submission</w:t>
            </w:r>
          </w:p>
        </w:tc>
      </w:tr>
      <w:tr>
        <w:tc>
          <w:tcPr>
            <w:tcW w:type="dxa" w:w="2200"/>
            <w:shd w:fill="F2F2F2" w:val="clear"/>
            <w:tcMar>
              <w:top w:type="dxa" w:w="100"/>
              <w:left w:type="dxa" w:w="120"/>
              <w:bottom w:type="dxa" w:w="100"/>
              <w:right w:type="dxa" w:w="120"/>
            </w:tcMar>
          </w:tcPr>
          <w:p>
            <w:pPr>
              <w:jc w:val="left"/>
            </w:pPr>
            <w:r>
              <w:rPr>
                <w:b/>
                <w:bCs/>
                <w:color w:val="262626"/>
                <w:sz w:val="20"/>
                <w:szCs w:val="20"/>
              </w:rPr>
              <w:t xml:space="preserve">Claimant communication</w:t>
            </w:r>
          </w:p>
        </w:tc>
        <w:tc>
          <w:tcPr>
            <w:tcW w:type="dxa" w:w="3600"/>
            <w:tcMar>
              <w:top w:type="dxa" w:w="100"/>
              <w:left w:type="dxa" w:w="120"/>
              <w:bottom w:type="dxa" w:w="100"/>
              <w:right w:type="dxa" w:w="120"/>
            </w:tcMar>
          </w:tcPr>
          <w:p>
            <w:pPr>
              <w:jc w:val="left"/>
            </w:pPr>
            <w:r>
              <w:rPr>
                <w:b w:val="false"/>
                <w:bCs w:val="false"/>
                <w:color w:val="7A1F1F"/>
                <w:sz w:val="20"/>
                <w:szCs w:val="20"/>
              </w:rPr>
              <w:t xml:space="preserve">No confirmation until handler engages</w:t>
            </w:r>
          </w:p>
        </w:tc>
        <w:tc>
          <w:tcPr>
            <w:tcW w:type="dxa" w:w="3600"/>
            <w:tcMar>
              <w:top w:type="dxa" w:w="100"/>
              <w:left w:type="dxa" w:w="120"/>
              <w:bottom w:type="dxa" w:w="100"/>
              <w:right w:type="dxa" w:w="120"/>
            </w:tcMar>
          </w:tcPr>
          <w:p>
            <w:pPr>
              <w:jc w:val="left"/>
            </w:pPr>
            <w:r>
              <w:rPr>
                <w:b w:val="false"/>
                <w:bCs w:val="false"/>
                <w:color w:val="2E7D32"/>
                <w:sz w:val="20"/>
                <w:szCs w:val="20"/>
              </w:rPr>
              <w:t xml:space="preserve">Instant automated acknowledgement email</w:t>
            </w:r>
          </w:p>
        </w:tc>
      </w:tr>
      <w:tr>
        <w:tc>
          <w:tcPr>
            <w:tcW w:type="dxa" w:w="2200"/>
            <w:shd w:fill="F2F2F2" w:val="clear"/>
            <w:tcMar>
              <w:top w:type="dxa" w:w="100"/>
              <w:left w:type="dxa" w:w="120"/>
              <w:bottom w:type="dxa" w:w="100"/>
              <w:right w:type="dxa" w:w="120"/>
            </w:tcMar>
          </w:tcPr>
          <w:p>
            <w:pPr>
              <w:jc w:val="left"/>
            </w:pPr>
            <w:r>
              <w:rPr>
                <w:b/>
                <w:bCs/>
                <w:color w:val="262626"/>
                <w:sz w:val="20"/>
                <w:szCs w:val="20"/>
              </w:rPr>
              <w:t xml:space="preserve">Evidence review</w:t>
            </w:r>
          </w:p>
        </w:tc>
        <w:tc>
          <w:tcPr>
            <w:tcW w:type="dxa" w:w="3600"/>
            <w:tcMar>
              <w:top w:type="dxa" w:w="100"/>
              <w:left w:type="dxa" w:w="120"/>
              <w:bottom w:type="dxa" w:w="100"/>
              <w:right w:type="dxa" w:w="120"/>
            </w:tcMar>
          </w:tcPr>
          <w:p>
            <w:pPr>
              <w:jc w:val="left"/>
            </w:pPr>
            <w:r>
              <w:rPr>
                <w:b w:val="false"/>
                <w:bCs w:val="false"/>
                <w:color w:val="7A1F1F"/>
                <w:sz w:val="20"/>
                <w:szCs w:val="20"/>
              </w:rPr>
              <w:t xml:space="preserve">Manually reviewed by handler with no pre-analysis</w:t>
            </w:r>
          </w:p>
        </w:tc>
        <w:tc>
          <w:tcPr>
            <w:tcW w:type="dxa" w:w="3600"/>
            <w:tcMar>
              <w:top w:type="dxa" w:w="100"/>
              <w:left w:type="dxa" w:w="120"/>
              <w:bottom w:type="dxa" w:w="100"/>
              <w:right w:type="dxa" w:w="120"/>
            </w:tcMar>
          </w:tcPr>
          <w:p>
            <w:pPr>
              <w:jc w:val="left"/>
            </w:pPr>
            <w:r>
              <w:rPr>
                <w:b w:val="false"/>
                <w:bCs w:val="false"/>
                <w:color w:val="2E7D32"/>
                <w:sz w:val="20"/>
                <w:szCs w:val="20"/>
              </w:rPr>
              <w:t xml:space="preserve">AI image analysis auto-generated for damaged item evidence and saved to the case</w:t>
            </w:r>
          </w:p>
        </w:tc>
      </w:tr>
      <w:tr>
        <w:tc>
          <w:tcPr>
            <w:tcW w:type="dxa" w:w="2200"/>
            <w:shd w:fill="F2F2F2" w:val="clear"/>
            <w:tcMar>
              <w:top w:type="dxa" w:w="100"/>
              <w:left w:type="dxa" w:w="120"/>
              <w:bottom w:type="dxa" w:w="100"/>
              <w:right w:type="dxa" w:w="120"/>
            </w:tcMar>
          </w:tcPr>
          <w:p>
            <w:pPr>
              <w:jc w:val="left"/>
            </w:pPr>
            <w:r>
              <w:rPr>
                <w:b/>
                <w:bCs/>
                <w:color w:val="262626"/>
                <w:sz w:val="20"/>
                <w:szCs w:val="20"/>
              </w:rPr>
              <w:t xml:space="preserve">Policy schedule retrieval</w:t>
            </w:r>
          </w:p>
        </w:tc>
        <w:tc>
          <w:tcPr>
            <w:tcW w:type="dxa" w:w="3600"/>
            <w:tcMar>
              <w:top w:type="dxa" w:w="100"/>
              <w:left w:type="dxa" w:w="120"/>
              <w:bottom w:type="dxa" w:w="100"/>
              <w:right w:type="dxa" w:w="120"/>
            </w:tcMar>
          </w:tcPr>
          <w:p>
            <w:pPr>
              <w:jc w:val="left"/>
            </w:pPr>
            <w:r>
              <w:rPr>
                <w:b w:val="false"/>
                <w:bCs w:val="false"/>
                <w:color w:val="7A1F1F"/>
                <w:sz w:val="20"/>
                <w:szCs w:val="20"/>
              </w:rPr>
              <w:t xml:space="preserve">Handler manually emails Trinity and waits, tracking replies manually</w:t>
            </w:r>
          </w:p>
        </w:tc>
        <w:tc>
          <w:tcPr>
            <w:tcW w:type="dxa" w:w="3600"/>
            <w:tcMar>
              <w:top w:type="dxa" w:w="100"/>
              <w:left w:type="dxa" w:w="120"/>
              <w:bottom w:type="dxa" w:w="100"/>
              <w:right w:type="dxa" w:w="120"/>
            </w:tcMar>
          </w:tcPr>
          <w:p>
            <w:pPr>
              <w:jc w:val="left"/>
            </w:pPr>
            <w:r>
              <w:rPr>
                <w:b w:val="false"/>
                <w:bCs w:val="false"/>
                <w:color w:val="2E7D32"/>
                <w:sz w:val="20"/>
                <w:szCs w:val="20"/>
              </w:rPr>
              <w:t xml:space="preserve">Automated email to Trinity triggered on submission; case auto-waits for response</w:t>
            </w:r>
          </w:p>
        </w:tc>
      </w:tr>
      <w:tr>
        <w:tc>
          <w:tcPr>
            <w:tcW w:type="dxa" w:w="2200"/>
            <w:shd w:fill="F2F2F2" w:val="clear"/>
            <w:tcMar>
              <w:top w:type="dxa" w:w="100"/>
              <w:left w:type="dxa" w:w="120"/>
              <w:bottom w:type="dxa" w:w="100"/>
              <w:right w:type="dxa" w:w="120"/>
            </w:tcMar>
          </w:tcPr>
          <w:p>
            <w:pPr>
              <w:jc w:val="left"/>
            </w:pPr>
            <w:r>
              <w:rPr>
                <w:b/>
                <w:bCs/>
                <w:color w:val="262626"/>
                <w:sz w:val="20"/>
                <w:szCs w:val="20"/>
              </w:rPr>
              <w:t xml:space="preserve">Policy document handling</w:t>
            </w:r>
          </w:p>
        </w:tc>
        <w:tc>
          <w:tcPr>
            <w:tcW w:type="dxa" w:w="3600"/>
            <w:tcMar>
              <w:top w:type="dxa" w:w="100"/>
              <w:left w:type="dxa" w:w="120"/>
              <w:bottom w:type="dxa" w:w="100"/>
              <w:right w:type="dxa" w:w="120"/>
            </w:tcMar>
          </w:tcPr>
          <w:p>
            <w:pPr>
              <w:jc w:val="left"/>
            </w:pPr>
            <w:r>
              <w:rPr>
                <w:b w:val="false"/>
                <w:bCs w:val="false"/>
                <w:color w:val="7A1F1F"/>
                <w:sz w:val="20"/>
                <w:szCs w:val="20"/>
              </w:rPr>
              <w:t xml:space="preserve">Manually read and interpreted</w:t>
            </w:r>
          </w:p>
        </w:tc>
        <w:tc>
          <w:tcPr>
            <w:tcW w:type="dxa" w:w="3600"/>
            <w:tcMar>
              <w:top w:type="dxa" w:w="100"/>
              <w:left w:type="dxa" w:w="120"/>
              <w:bottom w:type="dxa" w:w="100"/>
              <w:right w:type="dxa" w:w="120"/>
            </w:tcMar>
          </w:tcPr>
          <w:p>
            <w:pPr>
              <w:jc w:val="left"/>
            </w:pPr>
            <w:r>
              <w:rPr>
                <w:b w:val="false"/>
                <w:bCs w:val="false"/>
                <w:color w:val="2E7D32"/>
                <w:sz w:val="20"/>
                <w:szCs w:val="20"/>
              </w:rPr>
              <w:t xml:space="preserve">Automated document extraction from the policy schedule once received</w:t>
            </w:r>
          </w:p>
        </w:tc>
      </w:tr>
      <w:tr>
        <w:tc>
          <w:tcPr>
            <w:tcW w:type="dxa" w:w="2200"/>
            <w:shd w:fill="F2F2F2" w:val="clear"/>
            <w:tcMar>
              <w:top w:type="dxa" w:w="100"/>
              <w:left w:type="dxa" w:w="120"/>
              <w:bottom w:type="dxa" w:w="100"/>
              <w:right w:type="dxa" w:w="120"/>
            </w:tcMar>
          </w:tcPr>
          <w:p>
            <w:pPr>
              <w:jc w:val="left"/>
            </w:pPr>
            <w:r>
              <w:rPr>
                <w:b/>
                <w:bCs/>
                <w:color w:val="262626"/>
                <w:sz w:val="20"/>
                <w:szCs w:val="20"/>
              </w:rPr>
              <w:t xml:space="preserve">Case creation in Libra</w:t>
            </w:r>
          </w:p>
        </w:tc>
        <w:tc>
          <w:tcPr>
            <w:tcW w:type="dxa" w:w="3600"/>
            <w:tcMar>
              <w:top w:type="dxa" w:w="100"/>
              <w:left w:type="dxa" w:w="120"/>
              <w:bottom w:type="dxa" w:w="100"/>
              <w:right w:type="dxa" w:w="120"/>
            </w:tcMar>
          </w:tcPr>
          <w:p>
            <w:pPr>
              <w:jc w:val="left"/>
            </w:pPr>
            <w:r>
              <w:rPr>
                <w:b w:val="false"/>
                <w:bCs w:val="false"/>
                <w:color w:val="7A1F1F"/>
                <w:sz w:val="20"/>
                <w:szCs w:val="20"/>
              </w:rPr>
              <w:t xml:space="preserve">Fully manual entry from scratch</w:t>
            </w:r>
          </w:p>
        </w:tc>
        <w:tc>
          <w:tcPr>
            <w:tcW w:type="dxa" w:w="3600"/>
            <w:tcMar>
              <w:top w:type="dxa" w:w="100"/>
              <w:left w:type="dxa" w:w="120"/>
              <w:bottom w:type="dxa" w:w="100"/>
              <w:right w:type="dxa" w:w="120"/>
            </w:tcMar>
          </w:tcPr>
          <w:p>
            <w:pPr>
              <w:jc w:val="left"/>
            </w:pPr>
            <w:r>
              <w:rPr>
                <w:b w:val="false"/>
                <w:bCs w:val="false"/>
                <w:color w:val="2E7D32"/>
                <w:sz w:val="20"/>
                <w:szCs w:val="20"/>
              </w:rPr>
              <w:t xml:space="preserve">Structured, pre-validated data ready for entry; Libra ID logged against the case</w:t>
            </w:r>
          </w:p>
        </w:tc>
      </w:tr>
    </w:tbl>
    <w:p>
      <w:pPr>
        <w:spacing w:after="200"/>
      </w:pPr>
    </w:p>
    <w:p>
      <w:pPr>
        <w:pStyle w:val="Heading1"/>
        <w:pBdr>
          <w:bottom w:val="single" w:color="1F3864" w:sz="6" w:space="4"/>
        </w:pBdr>
        <w:spacing w:after="160" w:before="320"/>
      </w:pPr>
      <w:r>
        <w:rPr>
          <w:b/>
          <w:bCs/>
          <w:color w:val="1F3864"/>
          <w:sz w:val="26"/>
          <w:szCs w:val="26"/>
        </w:rPr>
        <w:t xml:space="preserve">Key Business Benefits Delivered (MVP1)</w:t>
      </w:r>
    </w:p>
    <w:p>
      <w:pPr>
        <w:pStyle w:val="Heading2"/>
        <w:spacing w:after="100" w:before="240"/>
      </w:pPr>
      <w:r>
        <w:rPr>
          <w:b/>
          <w:bCs/>
          <w:color w:val="1F3864"/>
          <w:sz w:val="22"/>
          <w:szCs w:val="22"/>
        </w:rPr>
        <w:t xml:space="preserve">1. Faster, Always-On Claim Initiation</w:t>
      </w:r>
    </w:p>
    <w:p>
      <w:pPr>
        <w:pStyle w:val="ListParagraph"/>
        <w:numPr>
          <w:ilvl w:val="0"/>
          <w:numId w:val="2"/>
        </w:numPr>
        <w:spacing w:after="60"/>
      </w:pPr>
      <w:r>
        <w:rPr>
          <w:color w:val="262626"/>
          <w:sz w:val="21"/>
          <w:szCs w:val="21"/>
        </w:rPr>
        <w:t xml:space="preserve">Claimants can raise a claim any time, from any device, without waiting for a handler to be available on phone or email.</w:t>
      </w:r>
    </w:p>
    <w:p>
      <w:pPr>
        <w:pStyle w:val="ListParagraph"/>
        <w:numPr>
          <w:ilvl w:val="0"/>
          <w:numId w:val="2"/>
        </w:numPr>
        <w:spacing w:after="60"/>
      </w:pPr>
      <w:r>
        <w:rPr>
          <w:color w:val="262626"/>
          <w:sz w:val="21"/>
          <w:szCs w:val="21"/>
        </w:rPr>
        <w:t xml:space="preserve">Removes the initial back-and-forth needed just to collect basic claim information.</w:t>
      </w:r>
    </w:p>
    <w:p>
      <w:pPr>
        <w:pStyle w:val="Heading2"/>
        <w:spacing w:after="100" w:before="240"/>
      </w:pPr>
      <w:r>
        <w:rPr>
          <w:b/>
          <w:bCs/>
          <w:color w:val="1F3864"/>
          <w:sz w:val="22"/>
          <w:szCs w:val="22"/>
        </w:rPr>
        <w:t xml:space="preserve">2. Reduced Manual Effort for Claim Handlers</w:t>
      </w:r>
    </w:p>
    <w:p>
      <w:pPr>
        <w:pStyle w:val="ListParagraph"/>
        <w:numPr>
          <w:ilvl w:val="0"/>
          <w:numId w:val="2"/>
        </w:numPr>
        <w:spacing w:after="60"/>
      </w:pPr>
      <w:r>
        <w:rPr>
          <w:color w:val="262626"/>
          <w:sz w:val="21"/>
          <w:szCs w:val="21"/>
        </w:rPr>
        <w:t xml:space="preserve">Duplicate checks, acknowledgements, evidence analysis, and the Trinity policy-schedule request all happen automatically — zero manual effort at intake.</w:t>
      </w:r>
    </w:p>
    <w:p>
      <w:pPr>
        <w:pStyle w:val="ListParagraph"/>
        <w:numPr>
          <w:ilvl w:val="0"/>
          <w:numId w:val="2"/>
        </w:numPr>
        <w:spacing w:after="60"/>
      </w:pPr>
      <w:r>
        <w:rPr>
          <w:color w:val="262626"/>
          <w:sz w:val="21"/>
          <w:szCs w:val="21"/>
        </w:rPr>
        <w:t xml:space="preserve">Handlers receive a structured, pre-populated case instead of raw phone/email notes to transcribe.</w:t>
      </w:r>
    </w:p>
    <w:p>
      <w:pPr>
        <w:pStyle w:val="Heading2"/>
        <w:spacing w:after="100" w:before="240"/>
      </w:pPr>
      <w:r>
        <w:rPr>
          <w:b/>
          <w:bCs/>
          <w:color w:val="1F3864"/>
          <w:sz w:val="22"/>
          <w:szCs w:val="22"/>
        </w:rPr>
        <w:t xml:space="preserve">3. Improved Claimant Experience</w:t>
      </w:r>
    </w:p>
    <w:p>
      <w:pPr>
        <w:pStyle w:val="ListParagraph"/>
        <w:numPr>
          <w:ilvl w:val="0"/>
          <w:numId w:val="2"/>
        </w:numPr>
        <w:spacing w:after="60"/>
      </w:pPr>
      <w:r>
        <w:rPr>
          <w:color w:val="262626"/>
          <w:sz w:val="21"/>
          <w:szCs w:val="21"/>
        </w:rPr>
        <w:t xml:space="preserve">Immediate acknowledgement builds trust and transparency from the first interaction.</w:t>
      </w:r>
    </w:p>
    <w:p>
      <w:pPr>
        <w:pStyle w:val="ListParagraph"/>
        <w:numPr>
          <w:ilvl w:val="0"/>
          <w:numId w:val="2"/>
        </w:numPr>
        <w:spacing w:after="60"/>
      </w:pPr>
      <w:r>
        <w:rPr>
          <w:color w:val="262626"/>
          <w:sz w:val="21"/>
          <w:szCs w:val="21"/>
        </w:rPr>
        <w:t xml:space="preserve">Simple, accessible 4-step form works equally well for a spouse or dependent filing on the policyholder's behalf.</w:t>
      </w:r>
    </w:p>
    <w:p>
      <w:pPr>
        <w:pStyle w:val="ListParagraph"/>
        <w:numPr>
          <w:ilvl w:val="0"/>
          <w:numId w:val="2"/>
        </w:numPr>
        <w:spacing w:after="60"/>
      </w:pPr>
      <w:r>
        <w:rPr>
          <w:color w:val="262626"/>
          <w:sz w:val="21"/>
          <w:szCs w:val="21"/>
        </w:rPr>
        <w:t xml:space="preserve">WCAG-compliant design ensures the service is usable by claimants with accessibility needs — supporting inclusivity commitments.</w:t>
      </w:r>
    </w:p>
    <w:p>
      <w:pPr>
        <w:pStyle w:val="Heading2"/>
        <w:spacing w:after="100" w:before="240"/>
      </w:pPr>
      <w:r>
        <w:rPr>
          <w:b/>
          <w:bCs/>
          <w:color w:val="1F3864"/>
          <w:sz w:val="22"/>
          <w:szCs w:val="22"/>
        </w:rPr>
        <w:t xml:space="preserve">4. Faster, More Consistent Assessment</w:t>
      </w:r>
    </w:p>
    <w:p>
      <w:pPr>
        <w:pStyle w:val="ListParagraph"/>
        <w:numPr>
          <w:ilvl w:val="0"/>
          <w:numId w:val="2"/>
        </w:numPr>
        <w:spacing w:after="60"/>
      </w:pPr>
      <w:r>
        <w:rPr>
          <w:color w:val="262626"/>
          <w:sz w:val="21"/>
          <w:szCs w:val="21"/>
        </w:rPr>
        <w:t xml:space="preserve">AI image analysis gives claim handlers an immediate, consistent starting point for assessing damaged-item evidence.</w:t>
      </w:r>
    </w:p>
    <w:p>
      <w:pPr>
        <w:pStyle w:val="ListParagraph"/>
        <w:numPr>
          <w:ilvl w:val="0"/>
          <w:numId w:val="2"/>
        </w:numPr>
        <w:spacing w:after="60"/>
      </w:pPr>
      <w:r>
        <w:rPr>
          <w:color w:val="262626"/>
          <w:sz w:val="21"/>
          <w:szCs w:val="21"/>
        </w:rPr>
        <w:t xml:space="preserve">Automated policy document extraction removes manual reading/interpretation effort and reduces the risk of missed policy conditions.</w:t>
      </w:r>
    </w:p>
    <w:p>
      <w:pPr>
        <w:pStyle w:val="Heading2"/>
        <w:spacing w:after="100" w:before="240"/>
      </w:pPr>
      <w:r>
        <w:rPr>
          <w:b/>
          <w:bCs/>
          <w:color w:val="1F3864"/>
          <w:sz w:val="22"/>
          <w:szCs w:val="22"/>
        </w:rPr>
        <w:t xml:space="preserve">5. Better Auditability &amp; Traceability</w:t>
      </w:r>
    </w:p>
    <w:p>
      <w:pPr>
        <w:pStyle w:val="ListParagraph"/>
        <w:numPr>
          <w:ilvl w:val="0"/>
          <w:numId w:val="2"/>
        </w:numPr>
        <w:spacing w:after="60"/>
      </w:pPr>
      <w:r>
        <w:rPr>
          <w:color w:val="262626"/>
          <w:sz w:val="21"/>
          <w:szCs w:val="21"/>
        </w:rPr>
        <w:t xml:space="preserve">Every claim, communication trigger, and document is captured and tracked within a single Pega case — replacing scattered email threads with one system of record.</w:t>
      </w:r>
    </w:p>
    <w:p>
      <w:pPr>
        <w:pStyle w:val="ListParagraph"/>
        <w:numPr>
          <w:ilvl w:val="0"/>
          <w:numId w:val="2"/>
        </w:numPr>
        <w:spacing w:after="60"/>
      </w:pPr>
      <w:r>
        <w:rPr>
          <w:color w:val="262626"/>
          <w:sz w:val="21"/>
          <w:szCs w:val="21"/>
        </w:rPr>
        <w:t xml:space="preserve">Libra reference ID is logged on the case, linking the digital claim to the downstream system for full traceability.</w:t>
      </w:r>
    </w:p>
    <w:p>
      <w:pPr>
        <w:pStyle w:val="Heading2"/>
        <w:spacing w:after="100" w:before="240"/>
      </w:pPr>
      <w:r>
        <w:rPr>
          <w:b/>
          <w:bCs/>
          <w:color w:val="1F3864"/>
          <w:sz w:val="22"/>
          <w:szCs w:val="22"/>
        </w:rPr>
        <w:t xml:space="preserve">6. Scalable, Future-Ready Foundation</w:t>
      </w:r>
    </w:p>
    <w:p>
      <w:pPr>
        <w:pStyle w:val="ListParagraph"/>
        <w:numPr>
          <w:ilvl w:val="0"/>
          <w:numId w:val="2"/>
        </w:numPr>
        <w:spacing w:after="60"/>
      </w:pPr>
      <w:r>
        <w:rPr>
          <w:color w:val="262626"/>
          <w:sz w:val="21"/>
          <w:szCs w:val="21"/>
        </w:rPr>
        <w:t xml:space="preserve">Built on Constellation/DX components — proven to work seamlessly across web, tablet, and mobile.</w:t>
      </w:r>
    </w:p>
    <w:p>
      <w:pPr>
        <w:pStyle w:val="ListParagraph"/>
        <w:numPr>
          <w:ilvl w:val="0"/>
          <w:numId w:val="2"/>
        </w:numPr>
        <w:spacing w:after="60"/>
      </w:pPr>
      <w:r>
        <w:rPr>
          <w:color w:val="262626"/>
          <w:sz w:val="21"/>
          <w:szCs w:val="21"/>
        </w:rPr>
        <w:t xml:space="preserve">Architecture is ready to extend into two-way Libra integration, in-case email communication, and AI-driven decision support without rework.</w:t>
      </w:r>
    </w:p>
    <w:p>
      <w:pPr>
        <w:pStyle w:val="Heading1"/>
        <w:pBdr>
          <w:bottom w:val="single" w:color="1F3864" w:sz="6" w:space="4"/>
        </w:pBdr>
        <w:spacing w:after="160" w:before="320"/>
      </w:pPr>
      <w:r>
        <w:rPr>
          <w:b/>
          <w:bCs/>
          <w:color w:val="1F3864"/>
          <w:sz w:val="26"/>
          <w:szCs w:val="26"/>
        </w:rPr>
        <w:t xml:space="preserve">Roadmap: What Comes Next (MVP2 and Beyond)</w:t>
      </w:r>
    </w:p>
    <w:p>
      <w:pPr>
        <w:spacing w:after="120"/>
      </w:pPr>
      <w:r>
        <w:rPr>
          <w:color w:val="262626"/>
          <w:sz w:val="21"/>
          <w:szCs w:val="21"/>
        </w:rPr>
        <w:t xml:space="preserve">The current release (MVP1) automates claim intake and information gathering. The next phases focus on removing remaining manual work for claim handlers and introducing intelligent decision support.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3864" w:val="clear"/>
            <w:tcMar>
              <w:top w:type="dxa" w:w="100"/>
              <w:left w:type="dxa" w:w="120"/>
              <w:bottom w:type="dxa" w:w="100"/>
              <w:right w:type="dxa" w:w="120"/>
            </w:tcMar>
          </w:tcPr>
          <w:p>
            <w:pPr>
              <w:jc w:val="left"/>
            </w:pPr>
            <w:r>
              <w:rPr>
                <w:b/>
                <w:bCs/>
                <w:color w:val="FFFFFF"/>
                <w:sz w:val="20"/>
                <w:szCs w:val="20"/>
              </w:rPr>
              <w:t xml:space="preserve">Planned Capability</w:t>
            </w:r>
          </w:p>
        </w:tc>
        <w:tc>
          <w:tcPr>
            <w:tcW w:type="dxa" w:w="6600"/>
            <w:shd w:fill="1F3864" w:val="clear"/>
            <w:tcMar>
              <w:top w:type="dxa" w:w="100"/>
              <w:left w:type="dxa" w:w="120"/>
              <w:bottom w:type="dxa" w:w="100"/>
              <w:right w:type="dxa" w:w="120"/>
            </w:tcMar>
          </w:tcPr>
          <w:p>
            <w:pPr>
              <w:jc w:val="left"/>
            </w:pPr>
            <w:r>
              <w:rPr>
                <w:b/>
                <w:bCs/>
                <w:color w:val="FFFFFF"/>
                <w:sz w:val="20"/>
                <w:szCs w:val="20"/>
              </w:rPr>
              <w:t xml:space="preserve">Business Benefit</w:t>
            </w:r>
          </w:p>
        </w:tc>
      </w:tr>
      <w:tr>
        <w:tc>
          <w:tcPr>
            <w:tcW w:type="dxa" w:w="2800"/>
            <w:shd w:fill="F2F2F2" w:val="clear"/>
            <w:tcMar>
              <w:top w:type="dxa" w:w="100"/>
              <w:left w:type="dxa" w:w="120"/>
              <w:bottom w:type="dxa" w:w="100"/>
              <w:right w:type="dxa" w:w="120"/>
            </w:tcMar>
          </w:tcPr>
          <w:p>
            <w:pPr>
              <w:jc w:val="left"/>
            </w:pPr>
            <w:r>
              <w:rPr>
                <w:b/>
                <w:bCs/>
                <w:color w:val="262626"/>
                <w:sz w:val="20"/>
                <w:szCs w:val="20"/>
              </w:rPr>
              <w:t xml:space="preserve">In-case email inbox (send/receive)</w:t>
            </w:r>
          </w:p>
        </w:tc>
        <w:tc>
          <w:tcPr>
            <w:tcW w:type="dxa" w:w="6600"/>
            <w:tcMar>
              <w:top w:type="dxa" w:w="100"/>
              <w:left w:type="dxa" w:w="120"/>
              <w:bottom w:type="dxa" w:w="100"/>
              <w:right w:type="dxa" w:w="120"/>
            </w:tcMar>
          </w:tcPr>
          <w:p>
            <w:pPr>
              <w:jc w:val="left"/>
            </w:pPr>
            <w:r>
              <w:rPr>
                <w:b w:val="false"/>
                <w:bCs w:val="false"/>
                <w:color w:val="262626"/>
                <w:sz w:val="20"/>
                <w:szCs w:val="20"/>
              </w:rPr>
              <w:t xml:space="preserve">Handlers manage all claimant and Trinity correspondence directly within the case — no separate mailbox, no lost threads, faster turnaround.</w:t>
            </w:r>
          </w:p>
        </w:tc>
      </w:tr>
      <w:tr>
        <w:tc>
          <w:tcPr>
            <w:tcW w:type="dxa" w:w="2800"/>
            <w:shd w:fill="F2F2F2" w:val="clear"/>
            <w:tcMar>
              <w:top w:type="dxa" w:w="100"/>
              <w:left w:type="dxa" w:w="120"/>
              <w:bottom w:type="dxa" w:w="100"/>
              <w:right w:type="dxa" w:w="120"/>
            </w:tcMar>
          </w:tcPr>
          <w:p>
            <w:pPr>
              <w:jc w:val="left"/>
            </w:pPr>
            <w:r>
              <w:rPr>
                <w:b/>
                <w:bCs/>
                <w:color w:val="262626"/>
                <w:sz w:val="20"/>
                <w:szCs w:val="20"/>
              </w:rPr>
              <w:t xml:space="preserve">Two-way Libra integration (REST API)</w:t>
            </w:r>
          </w:p>
        </w:tc>
        <w:tc>
          <w:tcPr>
            <w:tcW w:type="dxa" w:w="6600"/>
            <w:tcMar>
              <w:top w:type="dxa" w:w="100"/>
              <w:left w:type="dxa" w:w="120"/>
              <w:bottom w:type="dxa" w:w="100"/>
              <w:right w:type="dxa" w:w="120"/>
            </w:tcMar>
          </w:tcPr>
          <w:p>
            <w:pPr>
              <w:jc w:val="left"/>
            </w:pPr>
            <w:r>
              <w:rPr>
                <w:b w:val="false"/>
                <w:bCs w:val="false"/>
                <w:color w:val="262626"/>
                <w:sz w:val="20"/>
                <w:szCs w:val="20"/>
              </w:rPr>
              <w:t xml:space="preserve">Eliminates manual re-keying of claim data into Libra entirely; reduces data entry errors and processing time.</w:t>
            </w:r>
          </w:p>
        </w:tc>
      </w:tr>
      <w:tr>
        <w:tc>
          <w:tcPr>
            <w:tcW w:type="dxa" w:w="2800"/>
            <w:shd w:fill="F2F2F2" w:val="clear"/>
            <w:tcMar>
              <w:top w:type="dxa" w:w="100"/>
              <w:left w:type="dxa" w:w="120"/>
              <w:bottom w:type="dxa" w:w="100"/>
              <w:right w:type="dxa" w:w="120"/>
            </w:tcMar>
          </w:tcPr>
          <w:p>
            <w:pPr>
              <w:jc w:val="left"/>
            </w:pPr>
            <w:r>
              <w:rPr>
                <w:b/>
                <w:bCs/>
                <w:color w:val="262626"/>
                <w:sz w:val="20"/>
                <w:szCs w:val="20"/>
              </w:rPr>
              <w:t xml:space="preserve">AI-suggested next best action</w:t>
            </w:r>
          </w:p>
        </w:tc>
        <w:tc>
          <w:tcPr>
            <w:tcW w:type="dxa" w:w="6600"/>
            <w:tcMar>
              <w:top w:type="dxa" w:w="100"/>
              <w:left w:type="dxa" w:w="120"/>
              <w:bottom w:type="dxa" w:w="100"/>
              <w:right w:type="dxa" w:w="120"/>
            </w:tcMar>
          </w:tcPr>
          <w:p>
            <w:pPr>
              <w:jc w:val="left"/>
            </w:pPr>
            <w:r>
              <w:rPr>
                <w:b w:val="false"/>
                <w:bCs w:val="false"/>
                <w:color w:val="262626"/>
                <w:sz w:val="20"/>
                <w:szCs w:val="20"/>
              </w:rPr>
              <w:t xml:space="preserve">Compares claim data against policy schedule and wordings to recommend an outcome, speeding up decisions while keeping the handler fully in control.</w:t>
            </w:r>
          </w:p>
        </w:tc>
      </w:tr>
      <w:tr>
        <w:tc>
          <w:tcPr>
            <w:tcW w:type="dxa" w:w="2800"/>
            <w:shd w:fill="F2F2F2" w:val="clear"/>
            <w:tcMar>
              <w:top w:type="dxa" w:w="100"/>
              <w:left w:type="dxa" w:w="120"/>
              <w:bottom w:type="dxa" w:w="100"/>
              <w:right w:type="dxa" w:w="120"/>
            </w:tcMar>
          </w:tcPr>
          <w:p>
            <w:pPr>
              <w:jc w:val="left"/>
            </w:pPr>
            <w:r>
              <w:rPr>
                <w:b/>
                <w:bCs/>
                <w:color w:val="262626"/>
                <w:sz w:val="20"/>
                <w:szCs w:val="20"/>
              </w:rPr>
              <w:t xml:space="preserve">Unstructured email intake channel</w:t>
            </w:r>
          </w:p>
        </w:tc>
        <w:tc>
          <w:tcPr>
            <w:tcW w:type="dxa" w:w="6600"/>
            <w:tcMar>
              <w:top w:type="dxa" w:w="100"/>
              <w:left w:type="dxa" w:w="120"/>
              <w:bottom w:type="dxa" w:w="100"/>
              <w:right w:type="dxa" w:w="120"/>
            </w:tcMar>
          </w:tcPr>
          <w:p>
            <w:pPr>
              <w:jc w:val="left"/>
            </w:pPr>
            <w:r>
              <w:rPr>
                <w:b w:val="false"/>
                <w:bCs w:val="false"/>
                <w:color w:val="262626"/>
                <w:sz w:val="20"/>
                <w:szCs w:val="20"/>
              </w:rPr>
              <w:t xml:space="preserve">Allows claimants to raise claims via free-form email, widening access channels while still creating a structured case.</w:t>
            </w:r>
          </w:p>
        </w:tc>
      </w:tr>
      <w:tr>
        <w:tc>
          <w:tcPr>
            <w:tcW w:type="dxa" w:w="2800"/>
            <w:shd w:fill="F2F2F2" w:val="clear"/>
            <w:tcMar>
              <w:top w:type="dxa" w:w="100"/>
              <w:left w:type="dxa" w:w="120"/>
              <w:bottom w:type="dxa" w:w="100"/>
              <w:right w:type="dxa" w:w="120"/>
            </w:tcMar>
          </w:tcPr>
          <w:p>
            <w:pPr>
              <w:jc w:val="left"/>
            </w:pPr>
            <w:r>
              <w:rPr>
                <w:b/>
                <w:bCs/>
                <w:color w:val="262626"/>
                <w:sz w:val="20"/>
                <w:szCs w:val="20"/>
              </w:rPr>
              <w:t xml:space="preserve">Expanded AI decision-support features</w:t>
            </w:r>
          </w:p>
        </w:tc>
        <w:tc>
          <w:tcPr>
            <w:tcW w:type="dxa" w:w="6600"/>
            <w:tcMar>
              <w:top w:type="dxa" w:w="100"/>
              <w:left w:type="dxa" w:w="120"/>
              <w:bottom w:type="dxa" w:w="100"/>
              <w:right w:type="dxa" w:w="120"/>
            </w:tcMar>
          </w:tcPr>
          <w:p>
            <w:pPr>
              <w:jc w:val="left"/>
            </w:pPr>
            <w:r>
              <w:rPr>
                <w:b w:val="false"/>
                <w:bCs w:val="false"/>
                <w:color w:val="262626"/>
                <w:sz w:val="20"/>
                <w:szCs w:val="20"/>
              </w:rPr>
              <w:t xml:space="preserve">Continued reduction in manual assessment effort and more consistent, defensible claim decisions over time.</w:t>
            </w:r>
          </w:p>
        </w:tc>
      </w:tr>
    </w:tbl>
    <w:p>
      <w:pPr>
        <w:spacing w:after="200"/>
      </w:pPr>
    </w:p>
    <w:p>
      <w:pPr>
        <w:pStyle w:val="Heading1"/>
        <w:pBdr>
          <w:bottom w:val="single" w:color="1F3864" w:sz="6" w:space="4"/>
        </w:pBdr>
        <w:spacing w:after="160" w:before="320"/>
      </w:pPr>
      <w:r>
        <w:rPr>
          <w:b/>
          <w:bCs/>
          <w:color w:val="1F3864"/>
          <w:sz w:val="26"/>
          <w:szCs w:val="26"/>
        </w:rPr>
        <w:t xml:space="preserve">Overall Impact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7100"/>
      </w:tblGrid>
      <w:tr>
        <w:trPr>
          <w:tblHeader/>
        </w:trPr>
        <w:tc>
          <w:tcPr>
            <w:tcW w:type="dxa" w:w="2300"/>
            <w:shd w:fill="1F3864" w:val="clear"/>
            <w:tcMar>
              <w:top w:type="dxa" w:w="100"/>
              <w:left w:type="dxa" w:w="120"/>
              <w:bottom w:type="dxa" w:w="100"/>
              <w:right w:type="dxa" w:w="120"/>
            </w:tcMar>
          </w:tcPr>
          <w:p>
            <w:pPr>
              <w:jc w:val="left"/>
            </w:pPr>
            <w:r>
              <w:rPr>
                <w:b/>
                <w:bCs/>
                <w:color w:val="FFFFFF"/>
                <w:sz w:val="20"/>
                <w:szCs w:val="20"/>
              </w:rPr>
              <w:t xml:space="preserve">Stakeholder</w:t>
            </w:r>
          </w:p>
        </w:tc>
        <w:tc>
          <w:tcPr>
            <w:tcW w:type="dxa" w:w="7100"/>
            <w:shd w:fill="1F3864" w:val="clear"/>
            <w:tcMar>
              <w:top w:type="dxa" w:w="100"/>
              <w:left w:type="dxa" w:w="120"/>
              <w:bottom w:type="dxa" w:w="100"/>
              <w:right w:type="dxa" w:w="120"/>
            </w:tcMar>
          </w:tcPr>
          <w:p>
            <w:pPr>
              <w:jc w:val="left"/>
            </w:pPr>
            <w:r>
              <w:rPr>
                <w:b/>
                <w:bCs/>
                <w:color w:val="FFFFFF"/>
                <w:sz w:val="20"/>
                <w:szCs w:val="20"/>
              </w:rPr>
              <w:t xml:space="preserve">What Changes For Them</w:t>
            </w:r>
          </w:p>
        </w:tc>
      </w:tr>
      <w:tr>
        <w:tc>
          <w:tcPr>
            <w:tcW w:type="dxa" w:w="2300"/>
            <w:shd w:fill="F2F2F2" w:val="clear"/>
            <w:tcMar>
              <w:top w:type="dxa" w:w="100"/>
              <w:left w:type="dxa" w:w="120"/>
              <w:bottom w:type="dxa" w:w="100"/>
              <w:right w:type="dxa" w:w="120"/>
            </w:tcMar>
          </w:tcPr>
          <w:p>
            <w:pPr>
              <w:jc w:val="left"/>
            </w:pPr>
            <w:r>
              <w:rPr>
                <w:b/>
                <w:bCs/>
                <w:color w:val="262626"/>
                <w:sz w:val="20"/>
                <w:szCs w:val="20"/>
              </w:rPr>
              <w:t xml:space="preserve">Claimants</w:t>
            </w:r>
          </w:p>
        </w:tc>
        <w:tc>
          <w:tcPr>
            <w:tcW w:type="dxa" w:w="7100"/>
            <w:tcMar>
              <w:top w:type="dxa" w:w="100"/>
              <w:left w:type="dxa" w:w="120"/>
              <w:bottom w:type="dxa" w:w="100"/>
              <w:right w:type="dxa" w:w="120"/>
            </w:tcMar>
          </w:tcPr>
          <w:p>
            <w:pPr>
              <w:jc w:val="left"/>
            </w:pPr>
            <w:r>
              <w:rPr>
                <w:b w:val="false"/>
                <w:bCs w:val="false"/>
                <w:color w:val="262626"/>
                <w:sz w:val="20"/>
                <w:szCs w:val="20"/>
              </w:rPr>
              <w:t xml:space="preserve">Self-service, always-available claim submission; instant acknowledgement; accessible on any device; less chasing for updates.</w:t>
            </w:r>
          </w:p>
        </w:tc>
      </w:tr>
      <w:tr>
        <w:tc>
          <w:tcPr>
            <w:tcW w:type="dxa" w:w="2300"/>
            <w:shd w:fill="F2F2F2" w:val="clear"/>
            <w:tcMar>
              <w:top w:type="dxa" w:w="100"/>
              <w:left w:type="dxa" w:w="120"/>
              <w:bottom w:type="dxa" w:w="100"/>
              <w:right w:type="dxa" w:w="120"/>
            </w:tcMar>
          </w:tcPr>
          <w:p>
            <w:pPr>
              <w:jc w:val="left"/>
            </w:pPr>
            <w:r>
              <w:rPr>
                <w:b/>
                <w:bCs/>
                <w:color w:val="262626"/>
                <w:sz w:val="20"/>
                <w:szCs w:val="20"/>
              </w:rPr>
              <w:t xml:space="preserve">Claim Handlers</w:t>
            </w:r>
          </w:p>
        </w:tc>
        <w:tc>
          <w:tcPr>
            <w:tcW w:type="dxa" w:w="7100"/>
            <w:tcMar>
              <w:top w:type="dxa" w:w="100"/>
              <w:left w:type="dxa" w:w="120"/>
              <w:bottom w:type="dxa" w:w="100"/>
              <w:right w:type="dxa" w:w="120"/>
            </w:tcMar>
          </w:tcPr>
          <w:p>
            <w:pPr>
              <w:jc w:val="left"/>
            </w:pPr>
            <w:r>
              <w:rPr>
                <w:b w:val="false"/>
                <w:bCs w:val="false"/>
                <w:color w:val="262626"/>
                <w:sz w:val="20"/>
                <w:szCs w:val="20"/>
              </w:rPr>
              <w:t xml:space="preserve">Structured, pre-validated cases with duplicate checks, evidence analysis, and policy documents already gathered — more time spent on assessment, not admin.</w:t>
            </w:r>
          </w:p>
        </w:tc>
      </w:tr>
      <w:tr>
        <w:tc>
          <w:tcPr>
            <w:tcW w:type="dxa" w:w="2300"/>
            <w:shd w:fill="F2F2F2" w:val="clear"/>
            <w:tcMar>
              <w:top w:type="dxa" w:w="100"/>
              <w:left w:type="dxa" w:w="120"/>
              <w:bottom w:type="dxa" w:w="100"/>
              <w:right w:type="dxa" w:w="120"/>
            </w:tcMar>
          </w:tcPr>
          <w:p>
            <w:pPr>
              <w:jc w:val="left"/>
            </w:pPr>
            <w:r>
              <w:rPr>
                <w:b/>
                <w:bCs/>
                <w:color w:val="262626"/>
                <w:sz w:val="20"/>
                <w:szCs w:val="20"/>
              </w:rPr>
              <w:t xml:space="preserve">Trinity (Underwriter)</w:t>
            </w:r>
          </w:p>
        </w:tc>
        <w:tc>
          <w:tcPr>
            <w:tcW w:type="dxa" w:w="7100"/>
            <w:tcMar>
              <w:top w:type="dxa" w:w="100"/>
              <w:left w:type="dxa" w:w="120"/>
              <w:bottom w:type="dxa" w:w="100"/>
              <w:right w:type="dxa" w:w="120"/>
            </w:tcMar>
          </w:tcPr>
          <w:p>
            <w:pPr>
              <w:jc w:val="left"/>
            </w:pPr>
            <w:r>
              <w:rPr>
                <w:b w:val="false"/>
                <w:bCs w:val="false"/>
                <w:color w:val="262626"/>
                <w:sz w:val="20"/>
                <w:szCs w:val="20"/>
              </w:rPr>
              <w:t xml:space="preserve">Standardised, automated request for policy schedule and confirmation, replacing ad hoc emails — clearer, faster, trackable requests.</w:t>
            </w:r>
          </w:p>
        </w:tc>
      </w:tr>
      <w:tr>
        <w:tc>
          <w:tcPr>
            <w:tcW w:type="dxa" w:w="2300"/>
            <w:shd w:fill="F2F2F2" w:val="clear"/>
            <w:tcMar>
              <w:top w:type="dxa" w:w="100"/>
              <w:left w:type="dxa" w:w="120"/>
              <w:bottom w:type="dxa" w:w="100"/>
              <w:right w:type="dxa" w:w="120"/>
            </w:tcMar>
          </w:tcPr>
          <w:p>
            <w:pPr>
              <w:jc w:val="left"/>
            </w:pPr>
            <w:r>
              <w:rPr>
                <w:b/>
                <w:bCs/>
                <w:color w:val="262626"/>
                <w:sz w:val="20"/>
                <w:szCs w:val="20"/>
              </w:rPr>
              <w:t xml:space="preserve">Leadership</w:t>
            </w:r>
          </w:p>
        </w:tc>
        <w:tc>
          <w:tcPr>
            <w:tcW w:type="dxa" w:w="7100"/>
            <w:tcMar>
              <w:top w:type="dxa" w:w="100"/>
              <w:left w:type="dxa" w:w="120"/>
              <w:bottom w:type="dxa" w:w="100"/>
              <w:right w:type="dxa" w:w="120"/>
            </w:tcMar>
          </w:tcPr>
          <w:p>
            <w:pPr>
              <w:jc w:val="left"/>
            </w:pPr>
            <w:r>
              <w:rPr>
                <w:b w:val="false"/>
                <w:bCs w:val="false"/>
                <w:color w:val="262626"/>
                <w:sz w:val="20"/>
                <w:szCs w:val="20"/>
              </w:rPr>
              <w:t xml:space="preserve">A single digital system of record for claims, reduced turnaround time, improved compliance/accessibility posture, and a scalable platform for future automation and AI investment.</w:t>
            </w:r>
          </w:p>
        </w:tc>
      </w:tr>
    </w:tbl>
    <w:p>
      <w:pPr>
        <w:spacing w:before="300"/>
      </w:pPr>
    </w:p>
    <w:p>
      <w:pPr>
        <w:pStyle w:val="Heading1"/>
        <w:pBdr>
          <w:bottom w:val="single" w:color="1F3864" w:sz="6" w:space="4"/>
        </w:pBdr>
        <w:spacing w:after="160" w:before="320"/>
      </w:pPr>
      <w:r>
        <w:rPr>
          <w:b/>
          <w:bCs/>
          <w:color w:val="1F3864"/>
          <w:sz w:val="26"/>
          <w:szCs w:val="26"/>
        </w:rPr>
        <w:t xml:space="preserve">Summary</w:t>
      </w:r>
    </w:p>
    <w:p>
      <w:pPr>
        <w:spacing w:after="120"/>
      </w:pPr>
      <w:r>
        <w:rPr>
          <w:color w:val="262626"/>
          <w:sz w:val="21"/>
          <w:szCs w:val="21"/>
        </w:rPr>
        <w:t xml:space="preserve">MVP1 has replaced a fully manual, email/phone-driven claim intake process with a self-service, automated, and accessible digital front door — while automatically preparing evidence and policy information for claim handlers. The upcoming roadmap will extend this automation into Libra system integration, in-case communication, and AI-driven decision support, moving Trinity Military Claims towards a fully digital, efficient, and consistent end-to-end claims journey.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2026-08-24T07:38:16.576Z</dcterms:created>
  <dcterms:modified xsi:type="dcterms:W3CDTF">2026-08-24T07:38:16.602Z</dcterms:modified>
</cp:coreProperties>
</file>

<file path=docProps/custom.xml><?xml version="1.0" encoding="utf-8"?>
<Properties xmlns="http://schemas.openxmlformats.org/officeDocument/2006/custom-properties" xmlns:vt="http://schemas.openxmlformats.org/officeDocument/2006/docPropsVTypes"/>
</file>