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b/>
          <w:bCs/>
          <w:color w:val="1F3864"/>
          <w:sz w:val="52"/>
          <w:szCs w:val="52"/>
        </w:rPr>
        <w:t xml:space="preserve">Reusable Assurance Case Framework</w:t>
      </w:r>
    </w:p>
    <w:p>
      <w:pPr>
        <w:spacing w:after="100" w:before="200"/>
        <w:jc w:val="center"/>
      </w:pPr>
      <w:r>
        <w:rPr>
          <w:b/>
          <w:bCs/>
          <w:color w:val="2E75B6"/>
          <w:sz w:val="32"/>
          <w:szCs w:val="32"/>
        </w:rPr>
        <w:t xml:space="preserve">Financial Crime &amp; Conflict of Interest Processes</w:t>
      </w:r>
    </w:p>
    <w:p>
      <w:pPr>
        <w:spacing w:after="600"/>
        <w:jc w:val="center"/>
      </w:pPr>
      <w:r>
        <w:rPr>
          <w:color w:val="595959"/>
          <w:sz w:val="26"/>
          <w:szCs w:val="26"/>
        </w:rPr>
        <w:t xml:space="preserve">High-Level Design (HLD) &amp; Low-Level Design (LLD)</w:t>
      </w:r>
    </w:p>
    <w:p>
      <w:pPr>
        <w:spacing w:after="100"/>
        <w:jc w:val="center"/>
      </w:pPr>
      <w:r>
        <w:rPr>
          <w:i/>
          <w:iCs/>
          <w:sz w:val="22"/>
          <w:szCs w:val="22"/>
        </w:rPr>
        <w:t xml:space="preserve">Platform: Pega Infinity '25 — Constellation UI Architecture</w:t>
      </w:r>
    </w:p>
    <w:p>
      <w:pPr>
        <w:spacing w:after="100"/>
        <w:jc w:val="center"/>
      </w:pPr>
      <w:r>
        <w:rPr>
          <w:i/>
          <w:iCs/>
          <w:sz w:val="22"/>
          <w:szCs w:val="22"/>
        </w:rPr>
        <w:t xml:space="preserve">AI-Enabled Intent Classification (Sanction / Non-Sanction) &amp; Configuration-Driven Routing</w:t>
      </w:r>
    </w:p>
    <w:p>
      <w:pPr>
        <w:spacing w:before="1200"/>
        <w:jc w:val="center"/>
      </w:pPr>
      <w:r>
        <w:rPr>
          <w:color w:val="595959"/>
          <w:sz w:val="20"/>
          <w:szCs w:val="20"/>
        </w:rPr>
        <w:t xml:space="preserve">Prepared for: Solution Architecture &amp; Business Analysis Review</w:t>
      </w:r>
    </w:p>
    <w:p>
      <w:pPr>
        <w:spacing w:before="100"/>
        <w:jc w:val="center"/>
      </w:pPr>
      <w:r>
        <w:rPr>
          <w:color w:val="595959"/>
          <w:sz w:val="20"/>
          <w:szCs w:val="20"/>
        </w:rPr>
        <w:t xml:space="preserve">Version 1.0  |  Draft for Discussion</w:t>
      </w:r>
    </w:p>
    <w:p>
      <w:r>
        <w:br w:type="page"/>
      </w:r>
    </w:p>
    <w:p>
      <w:pPr>
        <w:pStyle w:val="Heading1"/>
        <w:spacing w:after="200" w:before="4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1. Executive Summary</w:t>
      </w:r>
    </w:p>
    <w:p>
      <w:pPr>
        <w:spacing w:after="150" w:line="276"/>
      </w:pPr>
      <w:r>
        <w:t xml:space="preserve">This document presents the High-Level Design (HLD) and Low-Level Design (LLD) for a reusable Assurance Case Management framework built on Pega Infinity '25 using the Constellation UI architecture. The initial scope covers two Assurance processes — Financial Crime (FinCrime) and Conflict of Interest (COI) — but the framework is architected as a configurable, extensible platform so that future assurance processes (e.g., Whistleblowing, Regulatory Breach, Trade Surveillance) can be onboarded primarily through configuration, with minimal or no new case-type code.</w:t>
      </w:r>
    </w:p>
    <w:p>
      <w:pPr>
        <w:spacing w:after="150" w:line="276"/>
      </w:pPr>
      <w:r>
        <w:t xml:space="preserve">The framework standardizes four capabilities that are common across all assurance intake processes: (1) mailbox creation and email listening, (2) AI-driven categorization of inbound correspondence and attachments to derive business intent, (3) rules-driven routing and assignment, and (4) a configurable case lifecycle. A concrete example is used throughout this document: an inbound email is analyzed by AI to determine whether it represents a Sanctions-related matter or a Non-Sanctions matter, and is automatically routed to the correct review team.</w:t>
      </w:r>
    </w:p>
    <w:p>
      <w:pPr>
        <w:spacing w:after="150" w:line="276"/>
      </w:pPr>
      <w:r>
        <w:t xml:space="preserve">The design follows Pega's recommended layered application architecture, uses configuration data objects instead of hard-coded rules wherever business variability exists, and leverages Pega GenAI capabilities for intent classification, with a human-in-the-loop fallback for low-confidence predictions.</w:t>
      </w:r>
    </w:p>
    <w:p>
      <w:pPr>
        <w:pStyle w:val="Heading1"/>
        <w:spacing w:after="200" w:before="400"/>
      </w:pPr>
      <w:r>
        <w:t xml:space="preserve">2. Business Context &amp; Objectives</w:t>
      </w:r>
    </w:p>
    <w:p>
      <w:pPr>
        <w:pStyle w:val="Heading2"/>
        <w:spacing w:after="150" w:before="300"/>
      </w:pPr>
      <w:r>
        <w:t xml:space="preserve">2.1 Business Drivers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Assurance functions (Financial Crime, COI, and future processes) each run their own manual mailbox triage today, causing inconsistent SLAs, duplicate effort, and limited audit trail.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Each new assurance process currently requires a bespoke case type build, increasing time-to-market and total cost of ownership.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Regulatory expectation for demonstrable, auditable, and consistent handling of sanctions-related correspondence, with fast identification and escalation of true sanctions matters.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Desire to reduce manual triage effort using AI to read email body and attachments and derive intent, confidence-scored, with routing to the correct team.</w:t>
      </w:r>
    </w:p>
    <w:p>
      <w:pPr>
        <w:pStyle w:val="Heading2"/>
        <w:spacing w:after="150" w:before="300"/>
      </w:pPr>
      <w:r>
        <w:t xml:space="preserve">2.2 Design Objectives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 ONE reusable, configurable case type (a framework/skeleton) that services multiple assurance processes, rather than one case type per process.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Externalize everything that varies by process — mailbox, keywords/intents, routing targets, SLAs, stages, forms, approval matrix — into configuration data, not case-type code.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Pega GenAI / AI Agents to classify inbound email + attachment intent (e.g., Sanction vs Non-Sanction) with a confidence score, feeding straight-through routing where confidence is high and human triage where it is not.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Design for Constellation from day one: DX-API-driven, embedded/dynamic UI, channel-agnostic components, App Studio-first configuration for BAs.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Provide a clear extensibility path: onboarding a new assurance process should be a configuration exercise (new Process Configuration record + decision table entries + UI view assembly), not a new class/case-type build.</w:t>
      </w:r>
    </w:p>
    <w:p>
      <w:pPr>
        <w:pStyle w:val="Heading1"/>
        <w:spacing w:after="200" w:before="400"/>
      </w:pPr>
      <w:r>
        <w:t xml:space="preserve">3. Guiding Design Principles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63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means in this design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Configuration over customization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Business variability (routing, SLAs, stages, keywords, teams) lives in Data Objects and Decision Rules, never in Activities/code.</w:t>
            </w:r>
          </w:p>
        </w:tc>
      </w:tr>
      <w:tr>
        <w:tc>
          <w:tcPr>
            <w:tcW w:type="dxa" w:w="3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Single reusable case type</w:t>
            </w:r>
          </w:p>
        </w:tc>
        <w:tc>
          <w:tcPr>
            <w:tcW w:type="dxa" w:w="63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One abstract, parameterized case type ("Assurance-Framework-Work-") specialized per process via configuration and a thin subclass, not a full rebuild.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AI-assisted, human-governed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AI proposes intent + confidence; only high-confidence predictions auto-route. Everything else goes to a triage queue for human confirmation, and every AI decision is logged for audit and model feedback.</w:t>
            </w:r>
          </w:p>
        </w:tc>
      </w:tr>
      <w:tr>
        <w:tc>
          <w:tcPr>
            <w:tcW w:type="dxa" w:w="3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Constellation-native</w:t>
            </w:r>
          </w:p>
        </w:tc>
        <w:tc>
          <w:tcPr>
            <w:tcW w:type="dxa" w:w="63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UI built as reusable embedded views / dynamic containers driven by App Studio Case Designer, using DX API, so both business users and future channels (portal, mobile) share the same view models.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Separation of concerns (Pega layering)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Enterprise layer (shared org rules) → Assurance Framework layer (this build) → Process implementation layer (FinCrime, COI, future) — enabling rule resolution and clean upgrades.</w:t>
            </w:r>
          </w:p>
        </w:tc>
      </w:tr>
      <w:tr>
        <w:tc>
          <w:tcPr>
            <w:tcW w:type="dxa" w:w="3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Auditability by design</w:t>
            </w:r>
          </w:p>
        </w:tc>
        <w:tc>
          <w:tcPr>
            <w:tcW w:type="dxa" w:w="63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Every classification, routing decision, and manual override is captured against the case for regulatory traceability.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4. High-Level Design (HLD)</w:t>
      </w:r>
    </w:p>
    <w:p>
      <w:pPr>
        <w:pStyle w:val="Heading2"/>
        <w:spacing w:after="150" w:before="300"/>
      </w:pPr>
      <w:r>
        <w:t xml:space="preserve">4.1 Solution Overview</w:t>
      </w:r>
    </w:p>
    <w:p>
      <w:pPr>
        <w:spacing w:after="150" w:line="276"/>
      </w:pPr>
      <w:r>
        <w:t xml:space="preserve">The solution is a single Pega Infinity '25 application, built Constellation-first, organized as a reusable 'Assurance Framework' that sits beneath process-specific implementations. Inbound emails land in process-specific shared mailboxes but are processed by one common intake-and-classification pipeline. AI determines the business intent of the correspondence (including reading attachments), a configuration-driven routing service decides the specialized case type/team, and a common case shell carries the work through configurable stages to closure.</w:t>
      </w:r>
    </w:p>
    <w:p>
      <w:pPr>
        <w:spacing w:after="150" w:before="150"/>
        <w:jc w:val="center"/>
      </w:pPr>
      <w:r>
        <w:drawing>
          <wp:inline distT="0" distB="0" distL="0" distR="0">
            <wp:extent cx="5905500" cy="438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18"/>
          <w:szCs w:val="18"/>
        </w:rPr>
        <w:t xml:space="preserve">Figure 1: Layered High-Level Architecture</w:t>
      </w:r>
    </w:p>
    <w:p>
      <w:pPr>
        <w:pStyle w:val="Heading2"/>
        <w:spacing w:after="150" w:before="300"/>
      </w:pPr>
      <w:r>
        <w:t xml:space="preserve">4.2 Pega Application Layering</w:t>
      </w:r>
    </w:p>
    <w:p>
      <w:pPr>
        <w:spacing w:after="150" w:line="276"/>
      </w:pPr>
      <w:r>
        <w:t xml:space="preserve">The application is organized using Pega's standard layered (rule-resolution) approach so that shared capability is upgraded once and consumed everywhere: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5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Application Name (example)</w:t>
            </w:r>
          </w:p>
        </w:tc>
        <w:tc>
          <w:tcPr>
            <w:tcW w:type="dxa" w:w="4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Enterprise Layer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EnterpriseFoundation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Org-wide security, integrations (Email/O365, LDAP), enterprise data types, common UI shell, GenAI connection setup.</w:t>
            </w:r>
          </w:p>
        </w:tc>
      </w:tr>
      <w:tr>
        <w:tc>
          <w:tcPr>
            <w:tcW w:type="dxa" w:w="24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Assurance Framework Layer</w:t>
            </w:r>
          </w:p>
        </w:tc>
        <w:tc>
          <w:tcPr>
            <w:tcW w:type="dxa" w:w="2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AssuranceFW</w:t>
            </w:r>
          </w:p>
        </w:tc>
        <w:tc>
          <w:tcPr>
            <w:tcW w:type="dxa" w:w="4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Abstract case type, universal stages, Process Configuration data model, AI classification service, routing/decision framework, generic Constellation views.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Process Implementation Layer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AssuranceFinCrime, AssuranceCOI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Thin specialization: process-specific data fields, additional views/sections, process-specific decision table rows, keyword/intent config records.</w:t>
            </w:r>
          </w:p>
        </w:tc>
      </w:tr>
      <w:tr>
        <w:tc>
          <w:tcPr>
            <w:tcW w:type="dxa" w:w="24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Future Process Layer(s)</w:t>
            </w:r>
          </w:p>
        </w:tc>
        <w:tc>
          <w:tcPr>
            <w:tcW w:type="dxa" w:w="2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AssuranceWhistleblowing, etc.</w:t>
            </w:r>
          </w:p>
        </w:tc>
        <w:tc>
          <w:tcPr>
            <w:tcW w:type="dxa" w:w="4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Added later using the same pattern — new implementation layer + configuration, reusing the Framework layer unchanged.</w:t>
            </w:r>
          </w:p>
        </w:tc>
      </w:tr>
    </w:tbl>
    <w:p>
      <w:pPr>
        <w:pStyle w:val="Heading2"/>
        <w:spacing w:after="150" w:before="300"/>
      </w:pPr>
      <w:r>
        <w:t xml:space="preserve">4.3 Reusable Case Framework Concept</w:t>
      </w:r>
    </w:p>
    <w:p>
      <w:pPr>
        <w:spacing w:after="150" w:line="276"/>
      </w:pPr>
      <w:r>
        <w:t xml:space="preserve">Rather than building a new case type per process, the framework defines ONE abstract, universal case type with generic stages: Intake, Triage/Classification, Categorization &amp; Routing, Review, Decision, and Closure. Each process (FinCrime, COI, future processes) is represented as a lightweight specialized class that inherits this structure and layers on process-specific data and views. All process-specific behavior — which mailbox to listen to, which keywords/intents apply, which team to route to, what SLA applies, which approval matrix to use — is held in a 'Process Configuration' data object, not in the case type definition itself.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Onboarding a brand-new assurance process (future state) becomes: create a Process Configuration record, add routing/decision table rows, assemble a UI view from existing reusable sections, and (only if new data is truly needed) add a thin data class.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new flows, no new AI prompts, no duplicated mailbox/routing logic.</w:t>
      </w:r>
    </w:p>
    <w:p>
      <w:pPr>
        <w:pStyle w:val="Heading2"/>
        <w:spacing w:after="150" w:before="300"/>
      </w:pPr>
      <w:r>
        <w:t xml:space="preserve">4.4 Key Components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40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9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Pega Capability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Mailbox / Email Listener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Email Account (Service Email) + Email Bot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Connects to shared O365/Exchange mailbox(es); one listener configuration per process, reusing a common email-processing ruleset.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Attachment Extraction</w:t>
            </w:r>
          </w:p>
        </w:tc>
        <w:tc>
          <w:tcPr>
            <w:tcW w:type="dxa" w:w="29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File/Attachment processing, OCR (Pega Document/Intelligent OCR or Text Analyzer)</w:t>
            </w:r>
          </w:p>
        </w:tc>
        <w:tc>
          <w:tcPr>
            <w:tcW w:type="dxa" w:w="4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Extracts text from attached documents (PDF/Word/scanned images) so AI classification considers both body and attachment content.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AI Intent &amp; Classification Service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Pega GenAI (Prompt rules / AI Agent), Text Analyzer, Model Rule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Derives business intent (e.g., Sanction vs Non-Sanction; FinCrime vs COI) and returns a structured result with a confidence score and rationale.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Categorization &amp; Routing Service</w:t>
            </w:r>
          </w:p>
        </w:tc>
        <w:tc>
          <w:tcPr>
            <w:tcW w:type="dxa" w:w="29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Decision Table / Decision Strategy, Data Pages</w:t>
            </w:r>
          </w:p>
        </w:tc>
        <w:tc>
          <w:tcPr>
            <w:tcW w:type="dxa" w:w="4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Maps AI intent + business rules + Process Configuration into a target case subtype, team/queue, and SLA.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Universal Case Type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Case Type (abstract, parameterized stages)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Carries the work item through its lifecycle; stage/step visibility and required actions are configuration-driven.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Business Rules Engine</w:t>
            </w:r>
          </w:p>
        </w:tc>
        <w:tc>
          <w:tcPr>
            <w:tcW w:type="dxa" w:w="29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Decision Tables, Decision Trees, When Rules, Circumstancing</w:t>
            </w:r>
          </w:p>
        </w:tc>
        <w:tc>
          <w:tcPr>
            <w:tcW w:type="dxa" w:w="4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Encapsulates all variable business logic (eligibility, thresholds, escalation, approval routing) outside of code.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Work Manager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Work Queues, Skills, SLA Rules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Assigns cases to the correct team/individual based on skill, workload, and configured SLA.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Constellation UI</w:t>
            </w:r>
          </w:p>
        </w:tc>
        <w:tc>
          <w:tcPr>
            <w:tcW w:type="dxa" w:w="29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App Studio, DX Components, Embedded Data Views, Dynamic Containers</w:t>
            </w:r>
          </w:p>
        </w:tc>
        <w:tc>
          <w:tcPr>
            <w:tcW w:type="dxa" w:w="4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Renders case views, triage workbaskets, and configurator screens; reusable across processes and channels.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Configuration Workspace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App Studio + custom Data Object UI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Lets BAs/admins manage Process Configuration, keyword/intent mapping, and routing matrices without code changes.</w:t>
            </w:r>
          </w:p>
        </w:tc>
      </w:tr>
    </w:tbl>
    <w:p>
      <w:pPr>
        <w:pStyle w:val="Heading2"/>
        <w:spacing w:after="150" w:before="300"/>
      </w:pPr>
      <w:r>
        <w:t xml:space="preserve">4.5 AI-Driven Intent Classification</w:t>
      </w:r>
    </w:p>
    <w:p>
      <w:pPr>
        <w:spacing w:after="150" w:line="276"/>
      </w:pPr>
      <w:r>
        <w:t xml:space="preserve">The classification pipeline is designed as a two-stage check: an automated AI proposal, followed by a confidence gate that decides between straight-through processing and human triage. This keeps the framework fast for the majority of clear-cut cases while keeping a human in the loop for ambiguous ones — an important control point for a financial-crime/sanctions process.</w:t>
      </w:r>
    </w:p>
    <w:p>
      <w:pPr>
        <w:spacing w:after="150" w:before="150"/>
        <w:jc w:val="center"/>
      </w:pPr>
      <w:r>
        <w:drawing>
          <wp:inline distT="0" distB="0" distL="0" distR="0">
            <wp:extent cx="6096000" cy="1476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18"/>
          <w:szCs w:val="18"/>
        </w:rPr>
        <w:t xml:space="preserve">Figure 2: End-to-End Email-to-Case Process Flow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Input to the AI service: email subject/body text, sender domain/metadata, and extracted attachment text.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Output from the AI service: a structured JSON result — process guess (FinCrime/COI/etc.), sub-category (e.g., Sanction/Non-Sanction), confidence score (0-100), and a short rationale used for audit and for the triage agent's context.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Confidence threshold (configurable per process, e.g., 85%) determines auto-route vs manual-triage; thresholds are held in Process Configuration, not hardcoded.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Every AI decision — including overrides by a human triage agent — is captured to build a feedback/training data set for continuous improvement of the prompt/model.</w:t>
      </w:r>
    </w:p>
    <w:p>
      <w:pPr>
        <w:pStyle w:val="Heading2"/>
        <w:spacing w:after="150" w:before="300"/>
      </w:pPr>
      <w:r>
        <w:t xml:space="preserve">4.6 Integration Architecture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5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4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Exchange / Microsoft 365 Mailbox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Inbound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Source of assurance correspondence per process (dedicated shared mailbox per process, or sub-folder routing).</w:t>
            </w:r>
          </w:p>
        </w:tc>
      </w:tr>
      <w:tr>
        <w:tc>
          <w:tcPr>
            <w:tcW w:type="dxa" w:w="34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Pega GenAI Blueprint / LLM Service</w:t>
            </w:r>
          </w:p>
        </w:tc>
        <w:tc>
          <w:tcPr>
            <w:tcW w:type="dxa" w:w="1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Outbound (request) / Inbound (response)</w:t>
            </w:r>
          </w:p>
        </w:tc>
        <w:tc>
          <w:tcPr>
            <w:tcW w:type="dxa" w:w="4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Executes the intent-classification prompt against email + attachment text; may call an Anthropic/OpenAI/Azure OpenAI-backed model via Pega's GenAI connectors.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Sanctions Screening System (e.g., World-Check, Dow Jones, internal watch-list)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Outbound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Optional secondary check to corroborate an AI-flagged Sanctions case before final categorization.</w:t>
            </w:r>
          </w:p>
        </w:tc>
      </w:tr>
      <w:tr>
        <w:tc>
          <w:tcPr>
            <w:tcW w:type="dxa" w:w="34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HR / Conflict Register (for COI)</w:t>
            </w:r>
          </w:p>
        </w:tc>
        <w:tc>
          <w:tcPr>
            <w:tcW w:type="dxa" w:w="1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Outbound</w:t>
            </w:r>
          </w:p>
        </w:tc>
        <w:tc>
          <w:tcPr>
            <w:tcW w:type="dxa" w:w="4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Validates declared relationships/interests for Conflict of Interest cases.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Enterprise Case/GRC or SIEM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Outbound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Case outcome and audit feed to enterprise GRC or regulatory reporting systems.</w:t>
            </w:r>
          </w:p>
        </w:tc>
      </w:tr>
      <w:tr>
        <w:tc>
          <w:tcPr>
            <w:tcW w:type="dxa" w:w="34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Identity/Access (LDAP/SSO)</w:t>
            </w:r>
          </w:p>
        </w:tc>
        <w:tc>
          <w:tcPr>
            <w:tcW w:type="dxa" w:w="1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Bidirectional</w:t>
            </w:r>
          </w:p>
        </w:tc>
        <w:tc>
          <w:tcPr>
            <w:tcW w:type="dxa" w:w="4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Access group and role resolution for Constellation portal access.</w:t>
            </w:r>
          </w:p>
        </w:tc>
      </w:tr>
    </w:tbl>
    <w:p>
      <w:pPr>
        <w:pStyle w:val="Heading2"/>
        <w:spacing w:after="150" w:before="300"/>
      </w:pPr>
      <w:r>
        <w:t xml:space="preserve">4.7 Non-Functional Requirements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3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Design Response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Role-based access groups per process (FinCrime reviewer, COI reviewer, Sanctions specialist); field-level access control on sensitive data (e.g., sanctions rationale); PII/attachment data encrypted at rest.</w:t>
            </w:r>
          </w:p>
        </w:tc>
      </w:tr>
      <w:tr>
        <w:tc>
          <w:tcPr>
            <w:tcW w:type="dxa" w:w="2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Auditability</w:t>
            </w:r>
          </w:p>
        </w:tc>
        <w:tc>
          <w:tcPr>
            <w:tcW w:type="dxa" w:w="73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Full history of AI classification, confidence, rationale, human overrides, approvals, and SLA timers retained against the case; immutable audit log exposed to compliance reporting.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Stateless AI service calls, queue-based intake, horizontally scalable via Pega's standard node scaling; decision tables avoid rule-count growth by keying off Process Configuration rather than per-process case types.</w:t>
            </w:r>
          </w:p>
        </w:tc>
      </w:tr>
      <w:tr>
        <w:tc>
          <w:tcPr>
            <w:tcW w:type="dxa" w:w="2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Extensibility</w:t>
            </w:r>
          </w:p>
        </w:tc>
        <w:tc>
          <w:tcPr>
            <w:tcW w:type="dxa" w:w="73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New process = configuration + thin subclass, not a re-platform; target under 2 weeks to onboard a new assurance process end-to-end.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Resilience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Email Bot retry/replay on failures; dead-letter queue for unparsable emails; manual fallback triage queue if AI service is unavailable.</w:t>
            </w:r>
          </w:p>
        </w:tc>
      </w:tr>
      <w:tr>
        <w:tc>
          <w:tcPr>
            <w:tcW w:type="dxa" w:w="2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SLA Management</w:t>
            </w:r>
          </w:p>
        </w:tc>
        <w:tc>
          <w:tcPr>
            <w:tcW w:type="dxa" w:w="73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Per-process, per-category SLA goals configured in Process Configuration and enforced via standard Pega SLA rules and escalation chains.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5. Low-Level Design (LLD)</w:t>
      </w:r>
    </w:p>
    <w:p>
      <w:pPr>
        <w:pStyle w:val="Heading2"/>
        <w:spacing w:after="150" w:before="300"/>
      </w:pPr>
      <w:r>
        <w:t xml:space="preserve">5.1 Class Structure &amp; Case Type Hierarchy</w:t>
      </w:r>
    </w:p>
    <w:p>
      <w:pPr>
        <w:spacing w:after="150" w:line="276"/>
      </w:pPr>
      <w:r>
        <w:t xml:space="preserve">A single abstract case type carries the universal stage structure. Process-specific classes are thin: they add only the data/views that are truly unique to that process. Sub-categorization (e.g., Sanction vs Non-Sanction) is modeled as a case-status/stage variant driven by configuration and AI output — not as a separate case type — to avoid class proliferation.</w:t>
      </w:r>
    </w:p>
    <w:p>
      <w:pPr>
        <w:spacing w:after="150" w:before="150"/>
        <w:jc w:val="center"/>
      </w:pPr>
      <w:r>
        <w:drawing>
          <wp:inline distT="0" distB="0" distL="0" distR="0">
            <wp:extent cx="5334000" cy="3381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18"/>
          <w:szCs w:val="18"/>
        </w:rPr>
        <w:t xml:space="preserve">Figure 3: Reusable Case Type / Class Hierarchy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00"/>
        <w:gridCol w:w="4200"/>
      </w:tblGrid>
      <w:tr>
        <w:trPr>
          <w:tblHeader/>
        </w:trPr>
        <w:tc>
          <w:tcPr>
            <w:tcW w:type="dxa" w:w="29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Assurance-Framework-Work-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Abstract case type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Defines universal stages (Intake, Triage, Categorization, Review, Decision, Closure), shared fields (Source Mailbox, AI Intent, Confidence Score, Routing Target, SLA Goal), and shared flows/harnesses.</w:t>
            </w:r>
          </w:p>
        </w:tc>
      </w:tr>
      <w:tr>
        <w:tc>
          <w:tcPr>
            <w:tcW w:type="dxa" w:w="29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Assurance-FinCrime-Work-</w:t>
            </w:r>
          </w:p>
        </w:tc>
        <w:tc>
          <w:tcPr>
            <w:tcW w:type="dxa" w:w="24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Concrete case type (extends Framework)</w:t>
            </w:r>
          </w:p>
        </w:tc>
        <w:tc>
          <w:tcPr>
            <w:tcW w:type="dxa" w:w="4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Adds FinCrime-specific fields (Sanctions List Hit, Screening Reference, Regulatory Category) and specialized review steps for Sanction vs Non-Sanction sub-flows.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Assurance-COI-Work-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Concrete case type (extends Framework)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Adds COI-specific fields (Declared Relationship, Business Unit, Materiality Rating) and a manager-attestation step.</w:t>
            </w:r>
          </w:p>
        </w:tc>
      </w:tr>
      <w:tr>
        <w:tc>
          <w:tcPr>
            <w:tcW w:type="dxa" w:w="29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Assurance-&lt;NewProcess&gt;-Work-</w:t>
            </w:r>
          </w:p>
        </w:tc>
        <w:tc>
          <w:tcPr>
            <w:tcW w:type="dxa" w:w="24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Future concrete case type</w:t>
            </w:r>
          </w:p>
        </w:tc>
        <w:tc>
          <w:tcPr>
            <w:tcW w:type="dxa" w:w="4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Created only when genuinely new data/steps are needed; otherwise the process runs entirely on Framework + configuration.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Data-Admin-ProcessConfig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Data class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Holds all per-process configuration: mailbox, keywords/intents, routing matrix reference, SLA goals, stage list, approval matrix, UI view bindings.</w:t>
            </w:r>
          </w:p>
        </w:tc>
      </w:tr>
      <w:tr>
        <w:tc>
          <w:tcPr>
            <w:tcW w:type="dxa" w:w="29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Data-Admin-ClassificationModel</w:t>
            </w:r>
          </w:p>
        </w:tc>
        <w:tc>
          <w:tcPr>
            <w:tcW w:type="dxa" w:w="24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Data class</w:t>
            </w:r>
          </w:p>
        </w:tc>
        <w:tc>
          <w:tcPr>
            <w:tcW w:type="dxa" w:w="4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Holds AI prompt template reference, confidence threshold, model version, and list of valid intent categories per process.</w:t>
            </w:r>
          </w:p>
        </w:tc>
      </w:tr>
    </w:tbl>
    <w:p>
      <w:pPr>
        <w:pStyle w:val="Heading2"/>
        <w:spacing w:after="150" w:before="300"/>
      </w:pPr>
      <w:r>
        <w:t xml:space="preserve">5.2 Data Model</w:t>
      </w:r>
    </w:p>
    <w:p>
      <w:pPr>
        <w:pStyle w:val="Heading3"/>
        <w:spacing w:after="100" w:before="200"/>
      </w:pPr>
      <w:r>
        <w:t xml:space="preserve">5.2.1 Process Configuration (Data-Admin-ProcessConfig)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51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ProcessID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Text (Key)</w:t>
            </w:r>
          </w:p>
        </w:tc>
        <w:tc>
          <w:tcPr>
            <w:tcW w:type="dxa" w:w="5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Unique code, e.g., FINCRIME, COI.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ProcessName</w:t>
            </w:r>
          </w:p>
        </w:tc>
        <w:tc>
          <w:tcPr>
            <w:tcW w:type="dxa" w:w="18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1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Display name shown in Constellation UI.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MailboxAddress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Shared mailbox monitored by Email Bot for this process.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IntentCategories</w:t>
            </w:r>
          </w:p>
        </w:tc>
        <w:tc>
          <w:tcPr>
            <w:tcW w:type="dxa" w:w="18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Page List</w:t>
            </w:r>
          </w:p>
        </w:tc>
        <w:tc>
          <w:tcPr>
            <w:tcW w:type="dxa" w:w="51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Valid AI intent outcomes for this process, e.g., Sanction, Non-Sanction.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ConfidenceThreshold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Decimal</w:t>
            </w:r>
          </w:p>
        </w:tc>
        <w:tc>
          <w:tcPr>
            <w:tcW w:type="dxa" w:w="5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Minimum AI confidence (%) for straight-through auto-routing.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RoutingMatrixRef</w:t>
            </w:r>
          </w:p>
        </w:tc>
        <w:tc>
          <w:tcPr>
            <w:tcW w:type="dxa" w:w="18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Text (Rule Ref)</w:t>
            </w:r>
          </w:p>
        </w:tc>
        <w:tc>
          <w:tcPr>
            <w:tcW w:type="dxa" w:w="51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Name of the Decision Table used for team/queue routing.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StageListRef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Page List</w:t>
            </w:r>
          </w:p>
        </w:tc>
        <w:tc>
          <w:tcPr>
            <w:tcW w:type="dxa" w:w="5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Ordered list of stages/steps applicable to this process (subset/superset of universal stages).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SLAGoals</w:t>
            </w:r>
          </w:p>
        </w:tc>
        <w:tc>
          <w:tcPr>
            <w:tcW w:type="dxa" w:w="18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Page List (Category → Hours)</w:t>
            </w:r>
          </w:p>
        </w:tc>
        <w:tc>
          <w:tcPr>
            <w:tcW w:type="dxa" w:w="51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SLA targets per intent category, e.g., Sanction = 4 hrs, Non-Sanction = 24 hrs.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ApprovalMatrixRef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Text (Rule Ref)</w:t>
            </w:r>
          </w:p>
        </w:tc>
        <w:tc>
          <w:tcPr>
            <w:tcW w:type="dxa" w:w="5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Decision Table controlling approval levels by risk/materiality.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UIViewBinding</w:t>
            </w:r>
          </w:p>
        </w:tc>
        <w:tc>
          <w:tcPr>
            <w:tcW w:type="dxa" w:w="18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1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Name of the Constellation case view / embedded sections to assemble for this process.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ActiveFlag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True/False</w:t>
            </w:r>
          </w:p>
        </w:tc>
        <w:tc>
          <w:tcPr>
            <w:tcW w:type="dxa" w:w="5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Enables/disables the process without deleting configuration.</w:t>
            </w:r>
          </w:p>
        </w:tc>
      </w:tr>
    </w:tbl>
    <w:p>
      <w:pPr>
        <w:pStyle w:val="Heading3"/>
        <w:spacing w:after="100" w:before="200"/>
      </w:pPr>
      <w:r>
        <w:t xml:space="preserve">5.2.2 Case Data (Assurance-Framework-Work-)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51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pyID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Standard Pega case ID.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ProcessID</w:t>
            </w:r>
          </w:p>
        </w:tc>
        <w:tc>
          <w:tcPr>
            <w:tcW w:type="dxa" w:w="18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1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Foreign key to Process Configuration.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SourceMailbox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Mailbox the triggering email arrived in.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EmailSubject / EmailBody</w:t>
            </w:r>
          </w:p>
        </w:tc>
        <w:tc>
          <w:tcPr>
            <w:tcW w:type="dxa" w:w="18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1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Captured inbound correspondence.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AttachmentList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Page List</w:t>
            </w:r>
          </w:p>
        </w:tc>
        <w:tc>
          <w:tcPr>
            <w:tcW w:type="dxa" w:w="5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Attachment metadata + extracted text reference.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AIIntentResult</w:t>
            </w:r>
          </w:p>
        </w:tc>
        <w:tc>
          <w:tcPr>
            <w:tcW w:type="dxa" w:w="18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Page (embedded)</w:t>
            </w:r>
          </w:p>
        </w:tc>
        <w:tc>
          <w:tcPr>
            <w:tcW w:type="dxa" w:w="51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Structured AI output: PredictedCategory, ConfidenceScore, Rationale, ModelVersion.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FinalCategory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Confirmed category after auto-route or human triage (e.g., Sanction).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RoutedTeam / RoutedQueue</w:t>
            </w:r>
          </w:p>
        </w:tc>
        <w:tc>
          <w:tcPr>
            <w:tcW w:type="dxa" w:w="18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1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Result of routing decision table.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ClassificationSource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'AI-Auto' or 'Manual-Triage', for audit.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SLADeadline</w:t>
            </w:r>
          </w:p>
        </w:tc>
        <w:tc>
          <w:tcPr>
            <w:tcW w:type="dxa" w:w="18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Date/Time</w:t>
            </w:r>
          </w:p>
        </w:tc>
        <w:tc>
          <w:tcPr>
            <w:tcW w:type="dxa" w:w="51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Computed from Process Configuration SLA goal + category.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DecisionOutcome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Final case decision, e.g., Escalate to Regulatory, No Further Action, Closed - Confirmed COI.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AuditLog</w:t>
            </w:r>
          </w:p>
        </w:tc>
        <w:tc>
          <w:tcPr>
            <w:tcW w:type="dxa" w:w="18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Page List (embedded)</w:t>
            </w:r>
          </w:p>
        </w:tc>
        <w:tc>
          <w:tcPr>
            <w:tcW w:type="dxa" w:w="51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Every classification/override/approval event with timestamp and actor.</w:t>
            </w:r>
          </w:p>
        </w:tc>
      </w:tr>
    </w:tbl>
    <w:p>
      <w:pPr>
        <w:pStyle w:val="Heading2"/>
        <w:spacing w:after="150" w:before="300"/>
      </w:pPr>
      <w:r>
        <w:t xml:space="preserve">5.3 Case Lifecycle — Universal Stages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3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Configuration Hooks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1. Intake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Case created from email/attachment; metadata captured.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Mailbox binding, attachment parsing rules.</w:t>
            </w:r>
          </w:p>
        </w:tc>
      </w:tr>
      <w:tr>
        <w:tc>
          <w:tcPr>
            <w:tcW w:type="dxa" w:w="2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2. AI Classification</w:t>
            </w:r>
          </w:p>
        </w:tc>
        <w:tc>
          <w:tcPr>
            <w:tcW w:type="dxa" w:w="4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AI derives intent + confidence.</w:t>
            </w:r>
          </w:p>
        </w:tc>
        <w:tc>
          <w:tcPr>
            <w:tcW w:type="dxa" w:w="33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ClassificationModel record, prompt template, threshold.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3. Categorization &amp; Routing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Confirms category (auto or manual); resolves target team.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RoutingMatrix decision table, SLA goals.</w:t>
            </w:r>
          </w:p>
        </w:tc>
      </w:tr>
      <w:tr>
        <w:tc>
          <w:tcPr>
            <w:tcW w:type="dxa" w:w="2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4. Review</w:t>
            </w:r>
          </w:p>
        </w:tc>
        <w:tc>
          <w:tcPr>
            <w:tcW w:type="dxa" w:w="4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Subject-matter team investigates (e.g., Sanctions Specialist, COI Reviewer).</w:t>
            </w:r>
          </w:p>
        </w:tc>
        <w:tc>
          <w:tcPr>
            <w:tcW w:type="dxa" w:w="33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Process-specific view bindings; checklist per IntentCategory.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5. Decision &amp; Approval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Outcome recorded; approval routed by risk/materiality.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ApprovalMatrix decision table; delegation of authority rules.</w:t>
            </w:r>
          </w:p>
        </w:tc>
      </w:tr>
      <w:tr>
        <w:tc>
          <w:tcPr>
            <w:tcW w:type="dxa" w:w="2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6. Closure</w:t>
            </w:r>
          </w:p>
        </w:tc>
        <w:tc>
          <w:tcPr>
            <w:tcW w:type="dxa" w:w="4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Case closed; outcome fed to reporting and (optionally) AI feedback loop.</w:t>
            </w:r>
          </w:p>
        </w:tc>
        <w:tc>
          <w:tcPr>
            <w:tcW w:type="dxa" w:w="33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Closure reason list; regulatory reporting flag.</w:t>
            </w:r>
          </w:p>
        </w:tc>
      </w:tr>
    </w:tbl>
    <w:p>
      <w:pPr>
        <w:spacing w:after="100"/>
      </w:pPr>
      <w:r>
        <w:rPr>
          <w:i/>
          <w:iCs/>
          <w:color w:val="595959"/>
          <w:sz w:val="20"/>
          <w:szCs w:val="20"/>
        </w:rPr>
        <w:t xml:space="preserve">Note: Stage visibility, required steps, and even the fields shown per stage are driven by StageListRef and UIViewBinding in Process Configuration, so a new process can reorder/omit stages without touching the case type rule.</w:t>
      </w:r>
    </w:p>
    <w:p>
      <w:pPr>
        <w:pStyle w:val="Heading2"/>
        <w:spacing w:after="150" w:before="300"/>
      </w:pPr>
      <w:r>
        <w:t xml:space="preserve">5.4 Configuration-Driven Design Approach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Dynamic stage/step behaviour: Universal case type stages read from Process Configuration at runtime (via a Data Page) to determine which optional steps to display, avoiding per-process flow rule copies.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Decision Table–driven routing: A single 'Route-To-Team' decision table keyed on ProcessID + IntentCategory + Risk Rating returns the target Work Queue / Skill — adding a new process is a new table row, not new logic.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Keyword / intent configuration: A supporting data object maps process-specific keywords and example phrases into the AI prompt dynamically, so classification vocabulary can be tuned by a BA without a prompt-engineering change.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Reusable Constellation views: Case views are composed from a shared library of embedded sections (Correspondence Summary, AI Classification Panel, Decision Panel, Audit Trail) plus a small process-specific section, assembled per ProcessID via UIViewBinding.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Circumstancing / rule resolution: Where a truly process-specific rule variant is unavoidable (e.g., a specialized validation), Pega circumstancing on ProcessID is used ahead of creating a new class, preserving one rule with situational variants.</w:t>
      </w:r>
    </w:p>
    <w:p>
      <w:pPr>
        <w:pStyle w:val="Heading2"/>
        <w:spacing w:after="150" w:before="300"/>
      </w:pPr>
      <w:r>
        <w:t xml:space="preserve">5.5 Key Pega Rule Types Used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200"/>
      </w:tblGrid>
      <w:tr>
        <w:trPr>
          <w:tblHeader/>
        </w:trPr>
        <w:tc>
          <w:tcPr>
            <w:tcW w:type="dxa" w:w="33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 Type</w:t>
            </w:r>
          </w:p>
        </w:tc>
        <w:tc>
          <w:tcPr>
            <w:tcW w:type="dxa" w:w="6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Case Type / Stages &amp; Processes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Universal Assurance case shell and its 6 configurable stages.</w:t>
            </w:r>
          </w:p>
        </w:tc>
      </w:tr>
      <w:tr>
        <w:tc>
          <w:tcPr>
            <w:tcW w:type="dxa" w:w="33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Service Email / Email Bot</w:t>
            </w:r>
          </w:p>
        </w:tc>
        <w:tc>
          <w:tcPr>
            <w:tcW w:type="dxa" w:w="6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Mailbox listener per process; converts inbound mail to case-create or correspondence-update.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Text Analyzer / Extraction Rule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Attachment text extraction and lightweight rule-based pre-checks (e.g., known sanctioned entity keyword hit).</w:t>
            </w:r>
          </w:p>
        </w:tc>
      </w:tr>
      <w:tr>
        <w:tc>
          <w:tcPr>
            <w:tcW w:type="dxa" w:w="33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Prompt / GenAI Agent (Pega GenAI)</w:t>
            </w:r>
          </w:p>
        </w:tc>
        <w:tc>
          <w:tcPr>
            <w:tcW w:type="dxa" w:w="6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Sends email + attachment text to an LLM for structured intent classification with confidence and rationale.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Decision Table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Routing matrix, approval matrix, SLA lookup.</w:t>
            </w:r>
          </w:p>
        </w:tc>
      </w:tr>
      <w:tr>
        <w:tc>
          <w:tcPr>
            <w:tcW w:type="dxa" w:w="33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Decision Tree / When Rules</w:t>
            </w:r>
          </w:p>
        </w:tc>
        <w:tc>
          <w:tcPr>
            <w:tcW w:type="dxa" w:w="6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Conditional stage visibility, escalation triggers, validation logic.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Data Transform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Mapping AI JSON response into case fields; assembling Process Configuration into runtime context.</w:t>
            </w:r>
          </w:p>
        </w:tc>
      </w:tr>
      <w:tr>
        <w:tc>
          <w:tcPr>
            <w:tcW w:type="dxa" w:w="33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Data Page</w:t>
            </w:r>
          </w:p>
        </w:tc>
        <w:tc>
          <w:tcPr>
            <w:tcW w:type="dxa" w:w="6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Cached read of Process Configuration and Classification Model records used at case-creation time.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Work Queue / Skill / SLA Rule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Assignment and escalation of cases to the correct reviewer team.</w:t>
            </w:r>
          </w:p>
        </w:tc>
      </w:tr>
      <w:tr>
        <w:tc>
          <w:tcPr>
            <w:tcW w:type="dxa" w:w="33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Access Group / Role / Access Control Policy</w:t>
            </w:r>
          </w:p>
        </w:tc>
        <w:tc>
          <w:tcPr>
            <w:tcW w:type="dxa" w:w="6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Segregation of duties between processes and between triage/review/approval steps.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Constellation Case View / Embedded Data View / Dynamic Container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Composable, reusable UI for case work, triage, and configuration screens.</w:t>
            </w:r>
          </w:p>
        </w:tc>
      </w:tr>
    </w:tbl>
    <w:p>
      <w:pPr>
        <w:pStyle w:val="Heading2"/>
        <w:spacing w:after="150" w:before="300"/>
      </w:pPr>
      <w:r>
        <w:t xml:space="preserve">5.6 Sample Routing Decision Table</w:t>
      </w:r>
    </w:p>
    <w:p>
      <w:pPr>
        <w:spacing w:after="150" w:line="276"/>
      </w:pPr>
      <w:r>
        <w:t xml:space="preserve">Illustrative structure of the 'Route-To-Team' decision table referenced by the Categorization &amp; Routing Service: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1500"/>
        <w:gridCol w:w="1500"/>
        <w:gridCol w:w="2900"/>
        <w:gridCol w:w="140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ProcessID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IntentCategory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 Rating</w:t>
            </w:r>
          </w:p>
        </w:tc>
        <w:tc>
          <w:tcPr>
            <w:tcW w:type="dxa" w:w="29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Routed Team / Queue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SLA (hrs)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FINCRIME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Sanction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&gt;= 85%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Any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FinCrime-Sanctions-Specialist Queue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7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FINCRIME</w:t>
            </w:r>
          </w:p>
        </w:tc>
        <w:tc>
          <w:tcPr>
            <w:tcW w:type="dxa" w:w="2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Non-Sanction</w:t>
            </w:r>
          </w:p>
        </w:tc>
        <w:tc>
          <w:tcPr>
            <w:tcW w:type="dxa" w:w="1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&gt;= 85%</w:t>
            </w:r>
          </w:p>
        </w:tc>
        <w:tc>
          <w:tcPr>
            <w:tcW w:type="dxa" w:w="1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Any</w:t>
            </w:r>
          </w:p>
        </w:tc>
        <w:tc>
          <w:tcPr>
            <w:tcW w:type="dxa" w:w="29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FinCrime-Standard-Review Queue</w:t>
            </w:r>
          </w:p>
        </w:tc>
        <w:tc>
          <w:tcPr>
            <w:tcW w:type="dxa" w:w="14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FINCRIME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Any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&lt; 85%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Any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FinCrime-Manual-Triage Queue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7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COI</w:t>
            </w:r>
          </w:p>
        </w:tc>
        <w:tc>
          <w:tcPr>
            <w:tcW w:type="dxa" w:w="2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Declared Relationship</w:t>
            </w:r>
          </w:p>
        </w:tc>
        <w:tc>
          <w:tcPr>
            <w:tcW w:type="dxa" w:w="1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&gt;= 85%</w:t>
            </w:r>
          </w:p>
        </w:tc>
        <w:tc>
          <w:tcPr>
            <w:tcW w:type="dxa" w:w="1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9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COI-Senior-Reviewer Queue</w:t>
            </w:r>
          </w:p>
        </w:tc>
        <w:tc>
          <w:tcPr>
            <w:tcW w:type="dxa" w:w="14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COI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Declared Relationship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&gt;= 85%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Low/Medium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COI-Standard-Review Queue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48</w:t>
            </w:r>
          </w:p>
        </w:tc>
      </w:tr>
      <w:tr>
        <w:tc>
          <w:tcPr>
            <w:tcW w:type="dxa" w:w="17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COI</w:t>
            </w:r>
          </w:p>
        </w:tc>
        <w:tc>
          <w:tcPr>
            <w:tcW w:type="dxa" w:w="2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Any</w:t>
            </w:r>
          </w:p>
        </w:tc>
        <w:tc>
          <w:tcPr>
            <w:tcW w:type="dxa" w:w="1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&lt; 85%</w:t>
            </w:r>
          </w:p>
        </w:tc>
        <w:tc>
          <w:tcPr>
            <w:tcW w:type="dxa" w:w="1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Any</w:t>
            </w:r>
          </w:p>
        </w:tc>
        <w:tc>
          <w:tcPr>
            <w:tcW w:type="dxa" w:w="29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COI-Manual-Triage Queue</w:t>
            </w:r>
          </w:p>
        </w:tc>
        <w:tc>
          <w:tcPr>
            <w:tcW w:type="dxa" w:w="14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</w:tr>
    </w:tbl>
    <w:p>
      <w:pPr>
        <w:pStyle w:val="Heading2"/>
        <w:spacing w:after="150" w:before="300"/>
      </w:pPr>
      <w:r>
        <w:t xml:space="preserve">5.7 Security Model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800"/>
        <w:gridCol w:w="3800"/>
      </w:tblGrid>
      <w:tr>
        <w:trPr>
          <w:tblHeader/>
        </w:trPr>
        <w:tc>
          <w:tcPr>
            <w:tcW w:type="dxa" w:w="29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Access Group / Role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Permissions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AssuranceFW:Administrator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Framework-wide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Manage Process Configuration, Routing/Approval matrices, Classification Model settings.</w:t>
            </w:r>
          </w:p>
        </w:tc>
      </w:tr>
      <w:tr>
        <w:tc>
          <w:tcPr>
            <w:tcW w:type="dxa" w:w="29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FinCrime:Sanctions Specialist</w:t>
            </w:r>
          </w:p>
        </w:tc>
        <w:tc>
          <w:tcPr>
            <w:tcW w:type="dxa" w:w="28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FinCrime process, Sanction sub-category only</w:t>
            </w:r>
          </w:p>
        </w:tc>
        <w:tc>
          <w:tcPr>
            <w:tcW w:type="dxa" w:w="38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Review/decision on Sanction-categorized cases; restricted view of screening details.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FinCrime:Standard Reviewer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FinCrime process, Non-Sanction only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Review/decision on Non-Sanction cases.</w:t>
            </w:r>
          </w:p>
        </w:tc>
      </w:tr>
      <w:tr>
        <w:tc>
          <w:tcPr>
            <w:tcW w:type="dxa" w:w="29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COI:Reviewer / COI:Approver</w:t>
            </w:r>
          </w:p>
        </w:tc>
        <w:tc>
          <w:tcPr>
            <w:tcW w:type="dxa" w:w="28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COI process</w:t>
            </w:r>
          </w:p>
        </w:tc>
        <w:tc>
          <w:tcPr>
            <w:tcW w:type="dxa" w:w="38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Review and multi-level approval based on materiality rating.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Assurance:Triage Agent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Framework-wide, Triage stage only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Confirms/overrides low-confidence AI classification; cannot see final decision fields.</w:t>
            </w:r>
          </w:p>
        </w:tc>
      </w:tr>
      <w:tr>
        <w:tc>
          <w:tcPr>
            <w:tcW w:type="dxa" w:w="29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Assurance:Auditor</w:t>
            </w:r>
          </w:p>
        </w:tc>
        <w:tc>
          <w:tcPr>
            <w:tcW w:type="dxa" w:w="28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Read-only, all processes</w:t>
            </w:r>
          </w:p>
        </w:tc>
        <w:tc>
          <w:tcPr>
            <w:tcW w:type="dxa" w:w="38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Full read access to audit trail and AI rationale for regulatory review, no edit rights.</w:t>
            </w:r>
          </w:p>
        </w:tc>
      </w:tr>
    </w:tbl>
    <w:p>
      <w:pPr>
        <w:pStyle w:val="Heading2"/>
        <w:spacing w:after="150" w:before="300"/>
      </w:pPr>
      <w:r>
        <w:t xml:space="preserve">5.8 Sequence: Email Intake to Case Assignment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Email Bot polls/receives event from process mailbox → creates a transient work object.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Attachment parser extracts text from each attachment; combined text passed forward.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Data Transform assembles the AI request payload (email text + attachment text + ProcessID + valid IntentCategories from Process Configuration).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GenAI Prompt/Agent rule invokes the LLM; response parsed into AIIntentResult (category, confidence, rationale).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 Decision Rule checks ConfidenceThreshold: high → auto-set FinalCategory; low → create Triage assignment.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6. Routing decision table resolves RoutedTeam/Queue + SLA using ProcessID + FinalCategory + Risk Rating.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7. Case is created/updated as Assurance-FinCrime-Work- or Assurance-COI-Work- (or future subclass), assigned to the resolved Work Queue with SLA timers started.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8. All of the above steps are appended to AuditLog with timestamp, actor ('System-AI' or user), and rationale.</w:t>
      </w:r>
    </w:p>
    <w:p>
      <w:pPr>
        <w:pStyle w:val="Heading2"/>
        <w:spacing w:after="150" w:before="300"/>
      </w:pPr>
      <w:r>
        <w:t xml:space="preserve">5.9 Extensibility: Onboarding a New Assurance Process</w:t>
      </w:r>
    </w:p>
    <w:p>
      <w:pPr>
        <w:spacing w:after="150" w:line="276"/>
      </w:pPr>
      <w:r>
        <w:t xml:space="preserve">Target operating model for adding a new process (e.g., Whistleblowing) with no case-type code changes: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Create a new Process Configuration record: mailbox, intent categories, confidence threshold, SLA goals, stage list.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rows to the Routing and Approval decision tables for the new ProcessID.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Add/extend Classification Model configuration with new intent categories and example phrases for the AI prompt.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Assemble a Constellation case view from existing reusable sections; add a small process-specific section only if new fields are truly required.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Create access groups/roles for the new process's reviewer/approver population.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Only if genuinely new data is needed: create a thin Assurance-&lt;NewProcess&gt;-Work- class extending the Framework class.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Risks &amp; Mitigations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30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3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AI misclassifies a true Sanctions case as Non-Sanction (false negative)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Conservative confidence threshold specifically for Sanction category; secondary rule-based keyword/watch-list check; periodic sampling/QA of Non-Sanction auto-routed cases.</w:t>
            </w:r>
          </w:p>
        </w:tc>
      </w:tr>
      <w:tr>
        <w:tc>
          <w:tcPr>
            <w:tcW w:type="dxa" w:w="4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Over-reliance on AI erodes reviewer scrutiny</w:t>
            </w:r>
          </w:p>
        </w:tc>
        <w:tc>
          <w:tcPr>
            <w:tcW w:type="dxa" w:w="53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Rationale + confidence always shown to reviewer; mandatory periodic human audit sample even for high-confidence auto-routed cases.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Configuration sprawl reduces the 'no-code' benefit over time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Governance process for Process Configuration changes; configuration change is reviewed like a rule change, with versioning.</w:t>
            </w:r>
          </w:p>
        </w:tc>
      </w:tr>
      <w:tr>
        <w:tc>
          <w:tcPr>
            <w:tcW w:type="dxa" w:w="4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Attachment formats not parseable (scanned/image-only)</w:t>
            </w:r>
          </w:p>
        </w:tc>
        <w:tc>
          <w:tcPr>
            <w:tcW w:type="dxa" w:w="53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Fallback to OCR; unparsable attachments flagged and routed to manual triage rather than silently dropped.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Class hierarchy still grows if processes are more different than expected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Governance checkpoint at design time: only add a subclass when a genuine structural difference exists, not for cosmetic UI differences.</w:t>
            </w:r>
          </w:p>
        </w:tc>
      </w:tr>
    </w:tbl>
    <w:p>
      <w:pPr>
        <w:pStyle w:val="Heading1"/>
        <w:spacing w:after="200" w:before="400"/>
      </w:pPr>
      <w:r>
        <w:t xml:space="preserve">7. Phased Delivery Roadmap (Indicative)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9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Phase 1 — Framework Foundation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Abstract case type, universal stages, Process Configuration data model, Constellation shell views, Email Bot integration pattern.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Phase 2 — FinCrime Pilot</w:t>
            </w:r>
          </w:p>
        </w:tc>
        <w:tc>
          <w:tcPr>
            <w:tcW w:type="dxa" w:w="69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FinCrime subclass, AI intent classification (Sanction/Non-Sanction), routing matrix, Sanctions/Standard review queues.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Phase 3 — COI Rollout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COI subclass reusing the same Framework, proving configuration-only onboarding.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Phase 4 — AI Feedback &amp; Tuning</w:t>
            </w:r>
          </w:p>
        </w:tc>
        <w:tc>
          <w:tcPr>
            <w:tcW w:type="dxa" w:w="69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Model/prompt tuning using audit feedback; threshold optimization; expanded intent taxonomy.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Phase 5 — Additional Processes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Onboard further assurance processes using the established configuration playbook.</w:t>
            </w:r>
          </w:p>
        </w:tc>
      </w:tr>
    </w:tbl>
    <w:p>
      <w:pPr>
        <w:pStyle w:val="Heading1"/>
        <w:spacing w:after="200" w:before="400"/>
      </w:pPr>
      <w:r>
        <w:t xml:space="preserve">8. Appendix — Glossary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HLD / LLD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High-Level Design / Low-Level Design.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COI</w:t>
            </w:r>
          </w:p>
        </w:tc>
        <w:tc>
          <w:tcPr>
            <w:tcW w:type="dxa" w:w="69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Conflict of Interest.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FinCrime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Financial Crime.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Sanction / Non-Sanction</w:t>
            </w:r>
          </w:p>
        </w:tc>
        <w:tc>
          <w:tcPr>
            <w:tcW w:type="dxa" w:w="69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AI-derived sub-category indicating whether correspondence relates to a sanctions matter.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Process Configuration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Data object holding all per-process variability (mailbox, routing, SLA, stages, UI).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Constellation</w:t>
            </w:r>
          </w:p>
        </w:tc>
        <w:tc>
          <w:tcPr>
            <w:tcW w:type="dxa" w:w="69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Pega Infinity's DX-API-driven, component-based UI architecture.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GenAI / Prompt Rule / AI Agent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Pega's generative-AI rule types used to call an LLM for structured classification.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Straight-Through Processing (STP)</w:t>
            </w:r>
          </w:p>
        </w:tc>
        <w:tc>
          <w:tcPr>
            <w:tcW w:type="dxa" w:w="69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00000"/>
                <w:sz w:val="20"/>
                <w:szCs w:val="20"/>
              </w:rPr>
              <w:t xml:space="preserve">Fully automated routing without human triage, applied above the confidence threshold.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c53128f80e4779185eb3374c39350be3dd24fa4.png"/><Relationship Id="rId8" Type="http://schemas.openxmlformats.org/officeDocument/2006/relationships/image" Target="media/57390523fd42c360f975d2fa3e3c63627f6d77e8.png"/><Relationship Id="rId9" Type="http://schemas.openxmlformats.org/officeDocument/2006/relationships/image" Target="media/6126877003e5f8fab3ecb3484e1eeafadb38297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2026-08-18T14:53:42.645Z</dcterms:created>
  <dcterms:modified xsi:type="dcterms:W3CDTF">2026-08-18T14:53:42.645Z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