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600"/>
              <w:left w:type="dxa" w:w="300"/>
              <w:bottom w:type="dxa" w:w="600"/>
              <w:right w:type="dxa" w:w="300"/>
            </w:tcMar>
          </w:tcPr>
          <w:p>
            <w:pPr>
              <w:jc w:val="center"/>
            </w:pPr>
            <w:r>
              <w:rPr>
                <w:rFonts w:ascii="Arial" w:cs="Arial" w:eastAsia="Arial" w:hAnsi="Arial"/>
                <w:b/>
                <w:bCs/>
                <w:color w:val="FFFFFF"/>
                <w:sz w:val="44"/>
                <w:szCs w:val="44"/>
              </w:rPr>
              <w:t xml:space="preserve">TRINITY MILITARY KIT CLAIMS</w:t>
            </w:r>
          </w:p>
          <w:p>
            <w:pPr>
              <w:spacing w:after="80"/>
              <w:jc w:val="center"/>
            </w:pPr>
            <w:r>
              <w:rPr>
                <w:rFonts w:ascii="Arial" w:cs="Arial" w:eastAsia="Arial" w:hAnsi="Arial"/>
                <w:color w:val="9DC8C0"/>
                <w:sz w:val="26"/>
                <w:szCs w:val="26"/>
              </w:rPr>
              <w:t xml:space="preserve">Pega Claims Workflow — Hybrid AI-Assisted Design</w:t>
            </w:r>
          </w:p>
          <w:p>
            <w:pPr>
              <w:jc w:val="center"/>
            </w:pPr>
            <w:r>
              <w:rPr>
                <w:rFonts w:ascii="Arial" w:cs="Arial" w:eastAsia="Arial" w:hAnsi="Arial"/>
                <w:color w:val="7CA8A0"/>
                <w:sz w:val="22"/>
                <w:szCs w:val="22"/>
              </w:rPr>
              <w:t xml:space="preserve">End-to-End Process · Data Structures · AI Use Cases · Child Cases</w:t>
            </w:r>
          </w:p>
        </w:tc>
      </w:tr>
    </w:tbl>
    <w:p>
      <w:pPr>
        <w:spacing w:after="80"/>
      </w:pPr>
      <w:r>
        <w:t xml:space="preserve"/>
      </w:r>
    </w:p>
    <w:p>
      <w:pPr>
        <w:spacing w:after="100"/>
      </w:pPr>
      <w:r>
        <w:rPr>
          <w:rFonts w:ascii="Arial" w:cs="Arial" w:eastAsia="Arial" w:hAnsi="Arial"/>
          <w:b/>
          <w:bCs/>
          <w:color w:val="334155"/>
          <w:sz w:val="22"/>
          <w:szCs w:val="22"/>
        </w:rPr>
        <w:t xml:space="preserve">Document Type: High-Level Design Document</w:t>
      </w:r>
    </w:p>
    <w:p>
      <w:pPr>
        <w:spacing w:after="100"/>
      </w:pPr>
      <w:r>
        <w:rPr>
          <w:rFonts w:ascii="Arial" w:cs="Arial" w:eastAsia="Arial" w:hAnsi="Arial"/>
          <w:b w:val="false"/>
          <w:bCs w:val="false"/>
          <w:color w:val="334155"/>
          <w:sz w:val="22"/>
          <w:szCs w:val="22"/>
        </w:rPr>
        <w:t xml:space="preserve">Prepared for: Trinity Insurance Services</w:t>
      </w:r>
    </w:p>
    <w:p>
      <w:pPr>
        <w:spacing w:after="100"/>
      </w:pPr>
      <w:r>
        <w:rPr>
          <w:rFonts w:ascii="Arial" w:cs="Arial" w:eastAsia="Arial" w:hAnsi="Arial"/>
          <w:b w:val="false"/>
          <w:bCs w:val="false"/>
          <w:color w:val="334155"/>
          <w:sz w:val="22"/>
          <w:szCs w:val="22"/>
        </w:rPr>
        <w:t xml:space="preserve">Scope: Military Kit, Personal Possessions &amp; Contents Claims</w:t>
      </w:r>
    </w:p>
    <w:p>
      <w:pPr>
        <w:spacing w:after="100"/>
      </w:pPr>
      <w:r>
        <w:rPr>
          <w:rFonts w:ascii="Arial" w:cs="Arial" w:eastAsia="Arial" w:hAnsi="Arial"/>
          <w:b w:val="false"/>
          <w:bCs w:val="false"/>
          <w:color w:val="334155"/>
          <w:sz w:val="22"/>
          <w:szCs w:val="22"/>
        </w:rPr>
        <w:t xml:space="preserve">Platform: Pega Infinity (Claims Processing)</w:t>
      </w:r>
    </w:p>
    <w:p>
      <w:pPr>
        <w:spacing w:after="100"/>
      </w:pPr>
      <w:r>
        <w:rPr>
          <w:rFonts w:ascii="Arial" w:cs="Arial" w:eastAsia="Arial" w:hAnsi="Arial"/>
          <w:b w:val="false"/>
          <w:bCs w:val="false"/>
          <w:color w:val="334155"/>
          <w:sz w:val="22"/>
          <w:szCs w:val="22"/>
        </w:rPr>
        <w:t xml:space="preserve">Status: Draft — Internal Use Only</w:t>
      </w:r>
    </w:p>
    <w:p>
      <w:r>
        <w:br w:type="page"/>
      </w:r>
    </w:p>
    <w:p>
      <w:pPr>
        <w:pStyle w:val="Heading1"/>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Arial" w:cs="Arial" w:eastAsia="Arial" w:hAnsi="Arial"/>
          <w:b/>
          <w:bCs/>
          <w:color w:val="1B2A4A"/>
          <w:sz w:val="32"/>
          <w:szCs w:val="32"/>
        </w:rPr>
        <w:t xml:space="preserve">1. Executive Summary</w:t>
      </w:r>
    </w:p>
    <w:p>
      <w:pPr>
        <w:spacing w:after="100"/>
      </w:pPr>
      <w:r>
        <w:rPr>
          <w:rFonts w:ascii="Arial" w:cs="Arial" w:eastAsia="Arial" w:hAnsi="Arial"/>
          <w:b w:val="false"/>
          <w:bCs w:val="false"/>
          <w:color w:val="334155"/>
          <w:sz w:val="22"/>
          <w:szCs w:val="22"/>
        </w:rPr>
        <w:t xml:space="preserve">This document describes the end-to-end Pega claims processing workflow for Trinity Insurance's Military Kit and Personal Possessions insurance product. The design adopts a hybrid AI-assisted model where artificial intelligence supports — but never replaces — human decision-making at four specific touchpoints.</w:t>
      </w:r>
    </w:p>
    <w:p>
      <w:pPr>
        <w:spacing w:after="80"/>
      </w:pPr>
      <w:r>
        <w:t xml:space="preserve"/>
      </w:r>
    </w:p>
    <w:p>
      <w:pPr>
        <w:spacing w:after="100"/>
      </w:pPr>
      <w:r>
        <w:rPr>
          <w:rFonts w:ascii="Arial" w:cs="Arial" w:eastAsia="Arial" w:hAnsi="Arial"/>
          <w:b w:val="false"/>
          <w:bCs w:val="false"/>
          <w:color w:val="334155"/>
          <w:sz w:val="22"/>
          <w:szCs w:val="22"/>
        </w:rPr>
        <w:t xml:space="preserve">The workflow is built on a parent-child case architecture in Pega Infinity, with the TRI-MasterClaim parent case managing seven stages and up to four child case types running independently for fraud investigation, item assessment, dispute handling, and recovery/subrogation.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7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c>
          <w:tcPr>
            <w:tcW w:type="dxa" w:w="8260"/>
            <w:tcBorders>
              <w:top w:val="none" w:color="FFFFFF" w:sz="0"/>
              <w:left w:val="none" w:color="FFFFFF" w:sz="0"/>
              <w:bottom w:val="none" w:color="FFFFFF" w:sz="0"/>
              <w:right w:val="none" w:color="FFFFFF" w:sz="0"/>
            </w:tcBorders>
            <w:shd w:fill="E8F5F2" w:val="clear"/>
            <w:tcMar>
              <w:top w:type="dxa" w:w="80"/>
              <w:left w:type="dxa" w:w="160"/>
              <w:bottom w:type="dxa" w:w="80"/>
              <w:right w:type="dxa" w:w="120"/>
            </w:tcMar>
          </w:tcPr>
          <w:p>
            <w:r>
              <w:rPr>
                <w:rFonts w:ascii="Arial" w:cs="Arial" w:eastAsia="Arial" w:hAnsi="Arial"/>
                <w:color w:val="334155"/>
                <w:sz w:val="20"/>
                <w:szCs w:val="20"/>
              </w:rPr>
              <w:t xml:space="preserve">British Army, Royal Navy, Royal Marines, RAF, Reservists, and MOD civilians. Covers military-issued kit, personally purchased kit, personal possessions, and service accommodation contents.</w:t>
            </w:r>
          </w:p>
        </w:tc>
      </w:tr>
    </w:tbl>
    <w:p>
      <w:pPr>
        <w:spacing w:after="80"/>
      </w:pPr>
      <w:r>
        <w:t xml:space="preserve"/>
      </w:r>
    </w:p>
    <w:p>
      <w:pPr>
        <w:pStyle w:val="Heading2"/>
      </w:pPr>
      <w:r>
        <w:rPr>
          <w:rFonts w:ascii="Arial" w:cs="Arial" w:eastAsia="Arial" w:hAnsi="Arial"/>
          <w:b/>
          <w:bCs/>
          <w:color w:val="0D7A6B"/>
          <w:sz w:val="26"/>
          <w:szCs w:val="26"/>
        </w:rPr>
        <w:t xml:space="preserve">1.1 Key Design Principles</w:t>
      </w:r>
    </w:p>
    <w:p>
      <w:pPr>
        <w:pStyle w:val="ListParagraph"/>
        <w:numPr>
          <w:ilvl w:val="0"/>
          <w:numId w:val="2"/>
        </w:numPr>
        <w:spacing w:after="60"/>
      </w:pPr>
      <w:r>
        <w:rPr>
          <w:rFonts w:ascii="Arial" w:cs="Arial" w:eastAsia="Arial" w:hAnsi="Arial"/>
          <w:color w:val="334155"/>
          <w:sz w:val="20"/>
          <w:szCs w:val="20"/>
        </w:rPr>
        <w:t xml:space="preserve">AI is used at four targeted points — email reading, policy coverage evaluation, image analysis, and fraud detection — and is advisory in all four cases.</w:t>
      </w:r>
    </w:p>
    <w:p>
      <w:pPr>
        <w:pStyle w:val="ListParagraph"/>
        <w:numPr>
          <w:ilvl w:val="0"/>
          <w:numId w:val="2"/>
        </w:numPr>
        <w:spacing w:after="60"/>
      </w:pPr>
      <w:r>
        <w:rPr>
          <w:rFonts w:ascii="Arial" w:cs="Arial" w:eastAsia="Arial" w:hAnsi="Arial"/>
          <w:color w:val="334155"/>
          <w:sz w:val="20"/>
          <w:szCs w:val="20"/>
        </w:rPr>
        <w:t xml:space="preserve">Human handlers make every claim decision; AI outputs are proposals that handlers accept, amend, or override.</w:t>
      </w:r>
    </w:p>
    <w:p>
      <w:pPr>
        <w:pStyle w:val="ListParagraph"/>
        <w:numPr>
          <w:ilvl w:val="0"/>
          <w:numId w:val="2"/>
        </w:numPr>
        <w:spacing w:after="60"/>
      </w:pPr>
      <w:r>
        <w:rPr>
          <w:rFonts w:ascii="Arial" w:cs="Arial" w:eastAsia="Arial" w:hAnsi="Arial"/>
          <w:color w:val="334155"/>
          <w:sz w:val="20"/>
          <w:szCs w:val="20"/>
        </w:rPr>
        <w:t xml:space="preserve">All AI inputs, outputs, and handler decisions are logged on an AIAudit page for FCA Consumer Duty explainability.</w:t>
      </w:r>
    </w:p>
    <w:p>
      <w:pPr>
        <w:pStyle w:val="ListParagraph"/>
        <w:numPr>
          <w:ilvl w:val="0"/>
          <w:numId w:val="2"/>
        </w:numPr>
        <w:spacing w:after="60"/>
      </w:pPr>
      <w:r>
        <w:rPr>
          <w:rFonts w:ascii="Arial" w:cs="Arial" w:eastAsia="Arial" w:hAnsi="Arial"/>
          <w:color w:val="334155"/>
          <w:sz w:val="20"/>
          <w:szCs w:val="20"/>
        </w:rPr>
        <w:t xml:space="preserve">Military-sensitive data (deployment location, unit, operational details) is masked before any LLM call.</w:t>
      </w:r>
    </w:p>
    <w:p>
      <w:pPr>
        <w:pStyle w:val="ListParagraph"/>
        <w:numPr>
          <w:ilvl w:val="0"/>
          <w:numId w:val="2"/>
        </w:numPr>
        <w:spacing w:after="60"/>
      </w:pPr>
      <w:r>
        <w:rPr>
          <w:rFonts w:ascii="Arial" w:cs="Arial" w:eastAsia="Arial" w:hAnsi="Arial"/>
          <w:color w:val="334155"/>
          <w:sz w:val="20"/>
          <w:szCs w:val="20"/>
        </w:rPr>
        <w:t xml:space="preserve">Parent-child Pega architecture separates concerns cleanly: the parent holds the claim lifecycle; children handle specialist sub-processes independently.</w:t>
      </w:r>
    </w:p>
    <w:p>
      <w:pPr>
        <w:spacing w:after="80"/>
      </w:pPr>
      <w:r>
        <w:t xml:space="preserve"/>
      </w:r>
    </w:p>
    <w:p>
      <w:pPr>
        <w:pStyle w:val="Heading1"/>
        <w:pageBreakBefore/>
      </w:pPr>
      <w:r>
        <w:rPr>
          <w:rFonts w:ascii="Arial" w:cs="Arial" w:eastAsia="Arial" w:hAnsi="Arial"/>
          <w:b/>
          <w:bCs/>
          <w:color w:val="1B2A4A"/>
          <w:sz w:val="32"/>
          <w:szCs w:val="32"/>
        </w:rPr>
        <w:t xml:space="preserve">2. Intake Channels</w:t>
      </w:r>
    </w:p>
    <w:p>
      <w:pPr>
        <w:spacing w:after="100"/>
      </w:pPr>
      <w:r>
        <w:rPr>
          <w:rFonts w:ascii="Arial" w:cs="Arial" w:eastAsia="Arial" w:hAnsi="Arial"/>
          <w:b w:val="false"/>
          <w:bCs w:val="false"/>
          <w:color w:val="334155"/>
          <w:sz w:val="22"/>
          <w:szCs w:val="22"/>
        </w:rPr>
        <w:t xml:space="preserve">Claims are received through three channels, all converging into the same TRI-MasterClaim Pega case type.</w:t>
      </w:r>
    </w:p>
    <w:p>
      <w:pPr>
        <w:spacing w:after="80"/>
      </w:pPr>
      <w:r>
        <w:t xml:space="preserve"/>
      </w:r>
    </w:p>
    <w:p>
      <w:pPr>
        <w:pStyle w:val="Heading2"/>
      </w:pPr>
      <w:r>
        <w:rPr>
          <w:rFonts w:ascii="Arial" w:cs="Arial" w:eastAsia="Arial" w:hAnsi="Arial"/>
          <w:b/>
          <w:bCs/>
          <w:color w:val="0D7A6B"/>
          <w:sz w:val="26"/>
          <w:szCs w:val="26"/>
        </w:rPr>
        <w:t xml:space="preserve">2.1 Web Form</w:t>
      </w:r>
    </w:p>
    <w:p>
      <w:pPr>
        <w:spacing w:after="100"/>
      </w:pPr>
      <w:r>
        <w:rPr>
          <w:rFonts w:ascii="Arial" w:cs="Arial" w:eastAsia="Arial" w:hAnsi="Arial"/>
          <w:b w:val="false"/>
          <w:bCs w:val="false"/>
          <w:color w:val="334155"/>
          <w:sz w:val="22"/>
          <w:szCs w:val="22"/>
        </w:rPr>
        <w:t xml:space="preserve">Claimants submit a structured form on the Trinity website (talktotrinity.com). Fields map directly to the Pega case data model via a REST inbound connector or Pega Digital Messaging channel rule. Case is created automatically on submission. No handler intervention is required at intake.</w:t>
      </w:r>
    </w:p>
    <w:p>
      <w:pPr>
        <w:spacing w:after="80"/>
      </w:pPr>
      <w:r>
        <w:t xml:space="preserve"/>
      </w:r>
    </w:p>
    <w:p>
      <w:pPr>
        <w:pStyle w:val="Heading2"/>
      </w:pPr>
      <w:r>
        <w:rPr>
          <w:rFonts w:ascii="Arial" w:cs="Arial" w:eastAsia="Arial" w:hAnsi="Arial"/>
          <w:b/>
          <w:bCs/>
          <w:color w:val="0D7A6B"/>
          <w:sz w:val="26"/>
          <w:szCs w:val="26"/>
        </w:rPr>
        <w:t xml:space="preserve">2.2 Email</w:t>
      </w:r>
    </w:p>
    <w:p>
      <w:pPr>
        <w:spacing w:after="100"/>
      </w:pPr>
      <w:r>
        <w:rPr>
          <w:rFonts w:ascii="Arial" w:cs="Arial" w:eastAsia="Arial" w:hAnsi="Arial"/>
          <w:b w:val="false"/>
          <w:bCs w:val="false"/>
          <w:color w:val="334155"/>
          <w:sz w:val="22"/>
          <w:szCs w:val="22"/>
        </w:rPr>
        <w:t xml:space="preserve">Claimants email TRIclaims@relaltd.com. Pega's Email Bot or Email Channel rule creates a skeleton case and fires the AI email reading agent. The LLM extracts structured fields and generates an incident summary. These are stored as proposed values on the ProposedFields page. A handler then reviews and confirms or corrects the AI extraction before the case advances.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Active</w:t>
            </w:r>
          </w:p>
        </w:tc>
        <w:tc>
          <w:tcPr>
            <w:tcW w:type="dxa" w:w="8260"/>
            <w:tcBorders>
              <w:top w:val="none" w:color="FFFFFF" w:sz="0"/>
              <w:left w:val="none" w:color="FFFFFF" w:sz="0"/>
              <w:bottom w:val="none" w:color="FFFFFF" w:sz="0"/>
              <w:right w:val="none" w:color="FFFFFF" w:sz="0"/>
            </w:tcBorders>
            <w:shd w:fill="FEF3C7" w:val="clear"/>
            <w:tcMar>
              <w:top w:type="dxa" w:w="80"/>
              <w:left w:type="dxa" w:w="160"/>
              <w:bottom w:type="dxa" w:w="80"/>
              <w:right w:type="dxa" w:w="120"/>
            </w:tcMar>
          </w:tcPr>
          <w:p>
            <w:r>
              <w:rPr>
                <w:rFonts w:ascii="Arial" w:cs="Arial" w:eastAsia="Arial" w:hAnsi="Arial"/>
                <w:color w:val="334155"/>
                <w:sz w:val="20"/>
                <w:szCs w:val="20"/>
              </w:rPr>
              <w:t xml:space="preserve">Email channel only. The LLM is invoked via GenAI Connect rule. Output is proposed, not committed, until handler confirms.</w:t>
            </w:r>
          </w:p>
        </w:tc>
      </w:tr>
    </w:tbl>
    <w:p>
      <w:pPr>
        <w:spacing w:after="80"/>
      </w:pPr>
      <w:r>
        <w:t xml:space="preserve"/>
      </w:r>
    </w:p>
    <w:p>
      <w:pPr>
        <w:pStyle w:val="Heading2"/>
      </w:pPr>
      <w:r>
        <w:rPr>
          <w:rFonts w:ascii="Arial" w:cs="Arial" w:eastAsia="Arial" w:hAnsi="Arial"/>
          <w:b/>
          <w:bCs/>
          <w:color w:val="0D7A6B"/>
          <w:sz w:val="26"/>
          <w:szCs w:val="26"/>
        </w:rPr>
        <w:t xml:space="preserve">2.3 Phone</w:t>
      </w:r>
    </w:p>
    <w:p>
      <w:pPr>
        <w:spacing w:after="100"/>
      </w:pPr>
      <w:r>
        <w:rPr>
          <w:rFonts w:ascii="Arial" w:cs="Arial" w:eastAsia="Arial" w:hAnsi="Arial"/>
          <w:b w:val="false"/>
          <w:bCs w:val="false"/>
          <w:color w:val="334155"/>
          <w:sz w:val="22"/>
          <w:szCs w:val="22"/>
        </w:rPr>
        <w:t xml:space="preserve">Claimants call 0808 175 4908 (freephone). The handler creates the case live in Pega's Constellation UI while speaking with the claimant. All fields are entered directly. Policy lookup is triggered by the handler. This channel bypasses all AI touchpoints at intake and produces the highest-quality intake data for complex cases.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Channel</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Case Creation</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AI Involved</w:t>
            </w:r>
          </w:p>
        </w:tc>
        <w:tc>
          <w:tcPr>
            <w:tcW w:type="dxa" w:w="3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Handler Role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Web Form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Auto on submit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Reviews in queue post-creation</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Email</w:t>
            </w:r>
          </w:p>
        </w:tc>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Auto on receipt</w:t>
            </w:r>
          </w:p>
        </w:tc>
        <w:tc>
          <w:tcPr>
            <w:tcW w:type="dxa" w:w="1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Yes — field extraction</w:t>
            </w:r>
          </w:p>
        </w:tc>
        <w:tc>
          <w:tcPr>
            <w:tcW w:type="dxa" w:w="3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Reviews and confirms AI fields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Phone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Manual by handler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No</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Creates and populates directly</w:t>
            </w:r>
          </w:p>
        </w:tc>
      </w:tr>
    </w:tbl>
    <w:p>
      <w:pPr>
        <w:spacing w:after="80"/>
      </w:pPr>
      <w:r>
        <w:t xml:space="preserve"/>
      </w:r>
    </w:p>
    <w:p>
      <w:pPr>
        <w:pStyle w:val="Heading1"/>
        <w:pageBreakBefore/>
      </w:pPr>
      <w:r>
        <w:rPr>
          <w:rFonts w:ascii="Arial" w:cs="Arial" w:eastAsia="Arial" w:hAnsi="Arial"/>
          <w:b/>
          <w:bCs/>
          <w:color w:val="1B2A4A"/>
          <w:sz w:val="32"/>
          <w:szCs w:val="32"/>
        </w:rPr>
        <w:t xml:space="preserve">3. End-to-End Workflow — 7 Stages</w:t>
      </w:r>
    </w:p>
    <w:p>
      <w:pPr>
        <w:spacing w:after="100"/>
      </w:pPr>
      <w:r>
        <w:rPr>
          <w:rFonts w:ascii="Arial" w:cs="Arial" w:eastAsia="Arial" w:hAnsi="Arial"/>
          <w:b w:val="false"/>
          <w:bCs w:val="false"/>
          <w:color w:val="334155"/>
          <w:sz w:val="22"/>
          <w:szCs w:val="22"/>
        </w:rPr>
        <w:t xml:space="preserve">The TRI-MasterClaim case type contains seven stages. The parent case remains open until all spawned child cases are resolved, at which point Stage 7 auto-completes.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660"/>
        <w:gridCol w:w="800"/>
      </w:tblGrid>
      <w:tr>
        <w:tc>
          <w:tcPr>
            <w:tcW w:type="dxa" w:w="900"/>
            <w:tcBorders>
              <w:top w:val="none" w:color="FFFFFF" w:sz="0"/>
              <w:left w:val="none" w:color="FFFFFF" w:sz="0"/>
              <w:bottom w:val="none" w:color="FFFFFF" w:sz="0"/>
              <w:right w:val="none" w:color="FFFFFF" w:sz="0"/>
            </w:tcBorders>
            <w:shd w:fill="0D7A6B" w:val="clear"/>
            <w:tcMar>
              <w:top w:type="dxa" w:w="120"/>
              <w:left w:type="dxa" w:w="160"/>
              <w:bottom w:type="dxa" w:w="120"/>
              <w:right w:type="dxa" w:w="80"/>
            </w:tcMar>
            <w:vAlign w:val="center"/>
          </w:tcPr>
          <w:p>
            <w:pPr>
              <w:jc w:val="center"/>
            </w:pPr>
            <w:r>
              <w:rPr>
                <w:rFonts w:ascii="Arial" w:cs="Arial" w:eastAsia="Arial" w:hAnsi="Arial"/>
                <w:b/>
                <w:bCs/>
                <w:color w:val="FFFFFF"/>
                <w:sz w:val="26"/>
                <w:szCs w:val="26"/>
              </w:rPr>
              <w:t xml:space="preserve">Stage 1</w:t>
            </w:r>
          </w:p>
        </w:tc>
        <w:tc>
          <w:tcPr>
            <w:tcW w:type="dxa" w:w="7660"/>
            <w:tcBorders>
              <w:top w:val="none" w:color="FFFFFF" w:sz="0"/>
              <w:left w:val="none" w:color="FFFFFF" w:sz="0"/>
              <w:bottom w:val="none" w:color="FFFFFF" w:sz="0"/>
              <w:right w:val="none" w:color="FFFFFF" w:sz="0"/>
            </w:tcBorders>
            <w:shd w:fill="1B2A4A" w:val="clear"/>
            <w:tcMar>
              <w:top w:type="dxa" w:w="120"/>
              <w:left w:type="dxa" w:w="160"/>
              <w:bottom w:type="dxa" w:w="120"/>
              <w:right w:type="dxa" w:w="80"/>
            </w:tcMar>
            <w:vAlign w:val="center"/>
          </w:tcPr>
          <w:p>
            <w:r>
              <w:rPr>
                <w:rFonts w:ascii="Arial" w:cs="Arial" w:eastAsia="Arial" w:hAnsi="Arial"/>
                <w:b/>
                <w:bCs/>
                <w:color w:val="FFFFFF"/>
                <w:sz w:val="26"/>
                <w:szCs w:val="26"/>
              </w:rPr>
              <w:t xml:space="preserve">Claim Intake &amp; Case Creation</w:t>
            </w:r>
          </w:p>
        </w:tc>
        <w:tc>
          <w:tcPr>
            <w:tcW w:type="dxa" w:w="800"/>
            <w:tcBorders>
              <w:top w:val="none" w:color="FFFFFF" w:sz="0"/>
              <w:left w:val="none" w:color="FFFFFF" w:sz="0"/>
              <w:bottom w:val="none" w:color="FFFFFF" w:sz="0"/>
              <w:right w:val="none" w:color="FFFFFF" w:sz="0"/>
            </w:tcBorders>
            <w:shd w:fill="0D7A6B" w:val="clear"/>
            <w:tcMar>
              <w:top w:type="dxa" w:w="120"/>
              <w:left w:type="dxa" w:w="80"/>
              <w:bottom w:type="dxa" w:w="120"/>
              <w:right w:type="dxa" w:w="120"/>
            </w:tcMar>
            <w:vAlign w:val="center"/>
          </w:tcPr>
          <w:p>
            <w:pPr>
              <w:jc w:val="center"/>
            </w:pPr>
            <w:r>
              <w:rPr>
                <w:rFonts w:ascii="Arial" w:cs="Arial" w:eastAsia="Arial" w:hAnsi="Arial"/>
                <w:b/>
                <w:bCs/>
                <w:color w:val="FFFFFF"/>
                <w:sz w:val="18"/>
                <w:szCs w:val="18"/>
              </w:rPr>
              <w:t xml:space="preserve">SLA: 24 hrs</w:t>
            </w:r>
          </w:p>
        </w:tc>
      </w:tr>
    </w:tbl>
    <w:p>
      <w:pPr>
        <w:spacing w:after="80"/>
      </w:pPr>
      <w:r>
        <w:t xml:space="preserve"/>
      </w:r>
    </w:p>
    <w:p>
      <w:pPr>
        <w:pStyle w:val="Heading3"/>
      </w:pPr>
      <w:r>
        <w:rPr>
          <w:rFonts w:ascii="Arial" w:cs="Arial" w:eastAsia="Arial" w:hAnsi="Arial"/>
          <w:b/>
          <w:bCs/>
          <w:color w:val="334155"/>
          <w:sz w:val="22"/>
          <w:szCs w:val="22"/>
        </w:rPr>
        <w:t xml:space="preserve">Steps</w:t>
      </w:r>
    </w:p>
    <w:p>
      <w:pPr>
        <w:pStyle w:val="ListParagraph"/>
        <w:numPr>
          <w:ilvl w:val="0"/>
          <w:numId w:val="2"/>
        </w:numPr>
        <w:spacing w:after="60"/>
      </w:pPr>
      <w:r>
        <w:rPr>
          <w:rFonts w:ascii="Arial" w:cs="Arial" w:eastAsia="Arial" w:hAnsi="Arial"/>
          <w:color w:val="334155"/>
          <w:sz w:val="20"/>
          <w:szCs w:val="20"/>
        </w:rPr>
        <w:t xml:space="preserve">1.1 Policy lookup &amp; verification — automated data page query to policy system</w:t>
      </w:r>
    </w:p>
    <w:p>
      <w:pPr>
        <w:pStyle w:val="ListParagraph"/>
        <w:numPr>
          <w:ilvl w:val="0"/>
          <w:numId w:val="2"/>
        </w:numPr>
        <w:spacing w:after="60"/>
      </w:pPr>
      <w:r>
        <w:rPr>
          <w:rFonts w:ascii="Arial" w:cs="Arial" w:eastAsia="Arial" w:hAnsi="Arial"/>
          <w:color w:val="334155"/>
          <w:sz w:val="20"/>
          <w:szCs w:val="20"/>
        </w:rPr>
        <w:t xml:space="preserve">1.2 Duplicate claim check — automated match on policy number, incident date, loss type</w:t>
      </w:r>
    </w:p>
    <w:p>
      <w:pPr>
        <w:pStyle w:val="ListParagraph"/>
        <w:numPr>
          <w:ilvl w:val="0"/>
          <w:numId w:val="2"/>
        </w:numPr>
        <w:spacing w:after="60"/>
      </w:pPr>
      <w:r>
        <w:rPr>
          <w:rFonts w:ascii="Arial" w:cs="Arial" w:eastAsia="Arial" w:hAnsi="Arial"/>
          <w:color w:val="334155"/>
          <w:sz w:val="20"/>
          <w:szCs w:val="20"/>
        </w:rPr>
        <w:t xml:space="preserve">1.3 Incident and loss details capture — date, location type, loss type, items affected</w:t>
      </w:r>
    </w:p>
    <w:p>
      <w:pPr>
        <w:pStyle w:val="ListParagraph"/>
        <w:numPr>
          <w:ilvl w:val="0"/>
          <w:numId w:val="2"/>
        </w:numPr>
        <w:spacing w:after="60"/>
      </w:pPr>
      <w:r>
        <w:rPr>
          <w:rFonts w:ascii="Arial" w:cs="Arial" w:eastAsia="Arial" w:hAnsi="Arial"/>
          <w:color w:val="334155"/>
          <w:sz w:val="20"/>
          <w:szCs w:val="20"/>
        </w:rPr>
        <w:t xml:space="preserve">1.4 Supporting information — service branch, rank, unit, police reference, payment details</w:t>
      </w:r>
    </w:p>
    <w:p>
      <w:pPr>
        <w:pStyle w:val="ListParagraph"/>
        <w:numPr>
          <w:ilvl w:val="0"/>
          <w:numId w:val="2"/>
        </w:numPr>
        <w:spacing w:after="60"/>
      </w:pPr>
      <w:r>
        <w:rPr>
          <w:rFonts w:ascii="Arial" w:cs="Arial" w:eastAsia="Arial" w:hAnsi="Arial"/>
          <w:color w:val="334155"/>
          <w:sz w:val="20"/>
          <w:szCs w:val="20"/>
        </w:rPr>
        <w:t xml:space="preserve">1.5 FNOL acknowledgement sent — automated correspondence rule, FCA 24-hr clock met</w:t>
      </w:r>
    </w:p>
    <w:p>
      <w:pPr>
        <w:pStyle w:val="ListParagraph"/>
        <w:numPr>
          <w:ilvl w:val="0"/>
          <w:numId w:val="2"/>
        </w:numPr>
        <w:spacing w:after="60"/>
      </w:pPr>
      <w:r>
        <w:rPr>
          <w:rFonts w:ascii="Arial" w:cs="Arial" w:eastAsia="Arial" w:hAnsi="Arial"/>
          <w:color w:val="334155"/>
          <w:sz w:val="20"/>
          <w:szCs w:val="20"/>
        </w:rPr>
        <w:t xml:space="preserve">1.6 Case classification and routing — handler confirms loss type, sets priority, assigns queue</w:t>
      </w:r>
    </w:p>
    <w:p>
      <w:pPr>
        <w:spacing w:after="80"/>
      </w:pPr>
      <w:r>
        <w:t xml:space="preserve"/>
      </w:r>
    </w:p>
    <w:p>
      <w:pPr>
        <w:pStyle w:val="Heading3"/>
      </w:pPr>
      <w:r>
        <w:rPr>
          <w:rFonts w:ascii="Arial" w:cs="Arial" w:eastAsia="Arial" w:hAnsi="Arial"/>
          <w:b/>
          <w:bCs/>
          <w:color w:val="334155"/>
          <w:sz w:val="22"/>
          <w:szCs w:val="22"/>
        </w:rPr>
        <w:t xml:space="preserve">Exception Paths</w:t>
      </w:r>
    </w:p>
    <w:p>
      <w:pPr>
        <w:pStyle w:val="ListParagraph"/>
        <w:numPr>
          <w:ilvl w:val="0"/>
          <w:numId w:val="2"/>
        </w:numPr>
        <w:spacing w:after="60"/>
      </w:pPr>
      <w:r>
        <w:rPr>
          <w:rFonts w:ascii="Arial" w:cs="Arial" w:eastAsia="Arial" w:hAnsi="Arial"/>
          <w:color w:val="334155"/>
          <w:sz w:val="20"/>
          <w:szCs w:val="20"/>
        </w:rPr>
        <w:t xml:space="preserve">Policy not found → handler exception queue; manual search or reject with closure letter</w:t>
      </w:r>
    </w:p>
    <w:p>
      <w:pPr>
        <w:pStyle w:val="ListParagraph"/>
        <w:numPr>
          <w:ilvl w:val="0"/>
          <w:numId w:val="2"/>
        </w:numPr>
        <w:spacing w:after="60"/>
      </w:pPr>
      <w:r>
        <w:rPr>
          <w:rFonts w:ascii="Arial" w:cs="Arial" w:eastAsia="Arial" w:hAnsi="Arial"/>
          <w:color w:val="334155"/>
          <w:sz w:val="20"/>
          <w:szCs w:val="20"/>
        </w:rPr>
        <w:t xml:space="preserve">Duplicate detected → handler merges with existing case or confirms separate incident</w:t>
      </w:r>
    </w:p>
    <w:p>
      <w:pPr>
        <w:pStyle w:val="ListParagraph"/>
        <w:numPr>
          <w:ilvl w:val="0"/>
          <w:numId w:val="2"/>
        </w:numPr>
        <w:spacing w:after="60"/>
      </w:pPr>
      <w:r>
        <w:rPr>
          <w:rFonts w:ascii="Arial" w:cs="Arial" w:eastAsia="Arial" w:hAnsi="Arial"/>
          <w:color w:val="334155"/>
          <w:sz w:val="20"/>
          <w:szCs w:val="20"/>
        </w:rPr>
        <w:t xml:space="preserve">Incomplete email → auto chase email sent; case held pending claimant reply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7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2 Entry Gate</w:t>
            </w:r>
          </w:p>
        </w:tc>
        <w:tc>
          <w:tcPr>
            <w:tcW w:type="dxa" w:w="8260"/>
            <w:tcBorders>
              <w:top w:val="none" w:color="FFFFFF" w:sz="0"/>
              <w:left w:val="none" w:color="FFFFFF" w:sz="0"/>
              <w:bottom w:val="none" w:color="FFFFFF" w:sz="0"/>
              <w:right w:val="none" w:color="FFFFFF" w:sz="0"/>
            </w:tcBorders>
            <w:shd w:fill="E8F5F2" w:val="clear"/>
            <w:tcMar>
              <w:top w:type="dxa" w:w="80"/>
              <w:left w:type="dxa" w:w="160"/>
              <w:bottom w:type="dxa" w:w="80"/>
              <w:right w:type="dxa" w:w="120"/>
            </w:tcMar>
          </w:tcPr>
          <w:p>
            <w:r>
              <w:rPr>
                <w:rFonts w:ascii="Arial" w:cs="Arial" w:eastAsia="Arial" w:hAnsi="Arial"/>
                <w:color w:val="334155"/>
                <w:sz w:val="20"/>
                <w:szCs w:val="20"/>
              </w:rPr>
              <w:t xml:space="preserve">All mandatory fields non-null · Policy verified · No unresolved duplicate · FNOL acknowledgement sent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660"/>
        <w:gridCol w:w="800"/>
      </w:tblGrid>
      <w:tr>
        <w:tc>
          <w:tcPr>
            <w:tcW w:type="dxa" w:w="900"/>
            <w:tcBorders>
              <w:top w:val="none" w:color="FFFFFF" w:sz="0"/>
              <w:left w:val="none" w:color="FFFFFF" w:sz="0"/>
              <w:bottom w:val="none" w:color="FFFFFF" w:sz="0"/>
              <w:right w:val="none" w:color="FFFFFF" w:sz="0"/>
            </w:tcBorders>
            <w:shd w:fill="0D7A6B" w:val="clear"/>
            <w:tcMar>
              <w:top w:type="dxa" w:w="120"/>
              <w:left w:type="dxa" w:w="160"/>
              <w:bottom w:type="dxa" w:w="120"/>
              <w:right w:type="dxa" w:w="80"/>
            </w:tcMar>
            <w:vAlign w:val="center"/>
          </w:tcPr>
          <w:p>
            <w:pPr>
              <w:jc w:val="center"/>
            </w:pPr>
            <w:r>
              <w:rPr>
                <w:rFonts w:ascii="Arial" w:cs="Arial" w:eastAsia="Arial" w:hAnsi="Arial"/>
                <w:b/>
                <w:bCs/>
                <w:color w:val="FFFFFF"/>
                <w:sz w:val="26"/>
                <w:szCs w:val="26"/>
              </w:rPr>
              <w:t xml:space="preserve">Stage 2</w:t>
            </w:r>
          </w:p>
        </w:tc>
        <w:tc>
          <w:tcPr>
            <w:tcW w:type="dxa" w:w="7660"/>
            <w:tcBorders>
              <w:top w:val="none" w:color="FFFFFF" w:sz="0"/>
              <w:left w:val="none" w:color="FFFFFF" w:sz="0"/>
              <w:bottom w:val="none" w:color="FFFFFF" w:sz="0"/>
              <w:right w:val="none" w:color="FFFFFF" w:sz="0"/>
            </w:tcBorders>
            <w:shd w:fill="1B2A4A" w:val="clear"/>
            <w:tcMar>
              <w:top w:type="dxa" w:w="120"/>
              <w:left w:type="dxa" w:w="160"/>
              <w:bottom w:type="dxa" w:w="120"/>
              <w:right w:type="dxa" w:w="80"/>
            </w:tcMar>
            <w:vAlign w:val="center"/>
          </w:tcPr>
          <w:p>
            <w:r>
              <w:rPr>
                <w:rFonts w:ascii="Arial" w:cs="Arial" w:eastAsia="Arial" w:hAnsi="Arial"/>
                <w:b/>
                <w:bCs/>
                <w:color w:val="FFFFFF"/>
                <w:sz w:val="26"/>
                <w:szCs w:val="26"/>
              </w:rPr>
              <w:t xml:space="preserve">Triage &amp; Coverage Check</w:t>
            </w:r>
          </w:p>
        </w:tc>
        <w:tc>
          <w:tcPr>
            <w:tcW w:type="dxa" w:w="800"/>
            <w:tcBorders>
              <w:top w:val="none" w:color="FFFFFF" w:sz="0"/>
              <w:left w:val="none" w:color="FFFFFF" w:sz="0"/>
              <w:bottom w:val="none" w:color="FFFFFF" w:sz="0"/>
              <w:right w:val="none" w:color="FFFFFF" w:sz="0"/>
            </w:tcBorders>
            <w:shd w:fill="0D7A6B" w:val="clear"/>
            <w:tcMar>
              <w:top w:type="dxa" w:w="120"/>
              <w:left w:type="dxa" w:w="80"/>
              <w:bottom w:type="dxa" w:w="120"/>
              <w:right w:type="dxa" w:w="120"/>
            </w:tcMar>
            <w:vAlign w:val="center"/>
          </w:tcPr>
          <w:p>
            <w:pPr>
              <w:jc w:val="center"/>
            </w:pPr>
            <w:r>
              <w:rPr>
                <w:rFonts w:ascii="Arial" w:cs="Arial" w:eastAsia="Arial" w:hAnsi="Arial"/>
                <w:b/>
                <w:bCs/>
                <w:color w:val="FFFFFF"/>
                <w:sz w:val="18"/>
                <w:szCs w:val="18"/>
              </w:rPr>
              <w:t xml:space="preserve">SLA: 48 hrs</w:t>
            </w:r>
          </w:p>
        </w:tc>
      </w:tr>
    </w:tbl>
    <w:p>
      <w:pPr>
        <w:spacing w:after="80"/>
      </w:pPr>
      <w:r>
        <w:t xml:space="preserve"/>
      </w:r>
    </w:p>
    <w:p>
      <w:pPr>
        <w:pStyle w:val="Heading3"/>
      </w:pPr>
      <w:r>
        <w:rPr>
          <w:rFonts w:ascii="Arial" w:cs="Arial" w:eastAsia="Arial" w:hAnsi="Arial"/>
          <w:b/>
          <w:bCs/>
          <w:color w:val="334155"/>
          <w:sz w:val="22"/>
          <w:szCs w:val="22"/>
        </w:rPr>
        <w:t xml:space="preserve">Steps</w:t>
      </w:r>
    </w:p>
    <w:p>
      <w:pPr>
        <w:pStyle w:val="ListParagraph"/>
        <w:numPr>
          <w:ilvl w:val="0"/>
          <w:numId w:val="2"/>
        </w:numPr>
        <w:spacing w:after="60"/>
      </w:pPr>
      <w:r>
        <w:rPr>
          <w:rFonts w:ascii="Arial" w:cs="Arial" w:eastAsia="Arial" w:hAnsi="Arial"/>
          <w:color w:val="334155"/>
          <w:sz w:val="20"/>
          <w:szCs w:val="20"/>
        </w:rPr>
        <w:t xml:space="preserve">2.1 Loss type classification</w:t>
      </w:r>
    </w:p>
    <w:p>
      <w:pPr>
        <w:pStyle w:val="ListParagraph"/>
        <w:numPr>
          <w:ilvl w:val="0"/>
          <w:numId w:val="2"/>
        </w:numPr>
        <w:spacing w:after="60"/>
      </w:pPr>
      <w:r>
        <w:rPr>
          <w:rFonts w:ascii="Arial" w:cs="Arial" w:eastAsia="Arial" w:hAnsi="Arial"/>
          <w:color w:val="334155"/>
          <w:sz w:val="20"/>
          <w:szCs w:val="20"/>
        </w:rPr>
        <w:t xml:space="preserve">2.2 AI policy coverage evaluation — LLM reads policy document + claim details, outputs: Covered / Partial / Excluded with clause citation</w:t>
      </w:r>
    </w:p>
    <w:p>
      <w:pPr>
        <w:pStyle w:val="ListParagraph"/>
        <w:numPr>
          <w:ilvl w:val="0"/>
          <w:numId w:val="2"/>
        </w:numPr>
        <w:spacing w:after="60"/>
      </w:pPr>
      <w:r>
        <w:rPr>
          <w:rFonts w:ascii="Arial" w:cs="Arial" w:eastAsia="Arial" w:hAnsi="Arial"/>
          <w:color w:val="334155"/>
          <w:sz w:val="20"/>
          <w:szCs w:val="20"/>
        </w:rPr>
        <w:t xml:space="preserve">2.3 Handler reviews AI coverage recommendation — accept or override with logged reason</w:t>
      </w:r>
    </w:p>
    <w:p>
      <w:pPr>
        <w:pStyle w:val="ListParagraph"/>
        <w:numPr>
          <w:ilvl w:val="0"/>
          <w:numId w:val="2"/>
        </w:numPr>
        <w:spacing w:after="60"/>
      </w:pPr>
      <w:r>
        <w:rPr>
          <w:rFonts w:ascii="Arial" w:cs="Arial" w:eastAsia="Arial" w:hAnsi="Arial"/>
          <w:color w:val="334155"/>
          <w:sz w:val="20"/>
          <w:szCs w:val="20"/>
        </w:rPr>
        <w:t xml:space="preserve">2.4 Cover level determination (kit only / kit + possessions / LTO)</w:t>
      </w:r>
    </w:p>
    <w:p>
      <w:pPr>
        <w:pStyle w:val="ListParagraph"/>
        <w:numPr>
          <w:ilvl w:val="0"/>
          <w:numId w:val="2"/>
        </w:numPr>
        <w:spacing w:after="60"/>
      </w:pPr>
      <w:r>
        <w:rPr>
          <w:rFonts w:ascii="Arial" w:cs="Arial" w:eastAsia="Arial" w:hAnsi="Arial"/>
          <w:color w:val="334155"/>
          <w:sz w:val="20"/>
          <w:szCs w:val="20"/>
        </w:rPr>
        <w:t xml:space="preserve">2.5 Excess calculation and acknowledgement</w:t>
      </w:r>
    </w:p>
    <w:p>
      <w:pPr>
        <w:pStyle w:val="ListParagraph"/>
        <w:numPr>
          <w:ilvl w:val="0"/>
          <w:numId w:val="2"/>
        </w:numPr>
        <w:spacing w:after="60"/>
      </w:pPr>
      <w:r>
        <w:rPr>
          <w:rFonts w:ascii="Arial" w:cs="Arial" w:eastAsia="Arial" w:hAnsi="Arial"/>
          <w:color w:val="334155"/>
          <w:sz w:val="20"/>
          <w:szCs w:val="20"/>
        </w:rPr>
        <w:t xml:space="preserve">2.6 Route to assessment queue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Active</w:t>
            </w:r>
          </w:p>
        </w:tc>
        <w:tc>
          <w:tcPr>
            <w:tcW w:type="dxa" w:w="8260"/>
            <w:tcBorders>
              <w:top w:val="none" w:color="FFFFFF" w:sz="0"/>
              <w:left w:val="none" w:color="FFFFFF" w:sz="0"/>
              <w:bottom w:val="none" w:color="FFFFFF" w:sz="0"/>
              <w:right w:val="none" w:color="FFFFFF" w:sz="0"/>
            </w:tcBorders>
            <w:shd w:fill="FEF3C7" w:val="clear"/>
            <w:tcMar>
              <w:top w:type="dxa" w:w="80"/>
              <w:left w:type="dxa" w:w="160"/>
              <w:bottom w:type="dxa" w:w="80"/>
              <w:right w:type="dxa" w:w="120"/>
            </w:tcMar>
          </w:tcPr>
          <w:p>
            <w:r>
              <w:rPr>
                <w:rFonts w:ascii="Arial" w:cs="Arial" w:eastAsia="Arial" w:hAnsi="Arial"/>
                <w:color w:val="334155"/>
                <w:sz w:val="20"/>
                <w:szCs w:val="20"/>
              </w:rPr>
              <w:t xml:space="preserve">GenAI Connect calls LLM with policy document sections + claim information. Output is a structured recommendation, never a binding decision.</w:t>
            </w:r>
          </w:p>
        </w:tc>
      </w:tr>
    </w:tbl>
    <w:p>
      <w:pPr>
        <w:spacing w:after="80"/>
      </w:pPr>
      <w:r>
        <w:t xml:space="preserve"/>
      </w:r>
    </w:p>
    <w:p>
      <w:pPr>
        <w:pStyle w:val="Heading3"/>
      </w:pPr>
      <w:r>
        <w:rPr>
          <w:rFonts w:ascii="Arial" w:cs="Arial" w:eastAsia="Arial" w:hAnsi="Arial"/>
          <w:b/>
          <w:bCs/>
          <w:color w:val="334155"/>
          <w:sz w:val="22"/>
          <w:szCs w:val="22"/>
        </w:rPr>
        <w:t xml:space="preserve">Exception Paths</w:t>
      </w:r>
    </w:p>
    <w:p>
      <w:pPr>
        <w:pStyle w:val="ListParagraph"/>
        <w:numPr>
          <w:ilvl w:val="0"/>
          <w:numId w:val="2"/>
        </w:numPr>
        <w:spacing w:after="60"/>
      </w:pPr>
      <w:r>
        <w:rPr>
          <w:rFonts w:ascii="Arial" w:cs="Arial" w:eastAsia="Arial" w:hAnsi="Arial"/>
          <w:color w:val="334155"/>
          <w:sz w:val="20"/>
          <w:szCs w:val="20"/>
        </w:rPr>
        <w:t xml:space="preserve">Lapsed policy → refer to underwriter queue</w:t>
      </w:r>
    </w:p>
    <w:p>
      <w:pPr>
        <w:pStyle w:val="ListParagraph"/>
        <w:numPr>
          <w:ilvl w:val="0"/>
          <w:numId w:val="2"/>
        </w:numPr>
        <w:spacing w:after="60"/>
      </w:pPr>
      <w:r>
        <w:rPr>
          <w:rFonts w:ascii="Arial" w:cs="Arial" w:eastAsia="Arial" w:hAnsi="Arial"/>
          <w:color w:val="334155"/>
          <w:sz w:val="20"/>
          <w:szCs w:val="20"/>
        </w:rPr>
        <w:t xml:space="preserve">LTO (Licence to Occupy) element → flag £20,000 limit; trigger LTO sub-flow</w:t>
      </w:r>
    </w:p>
    <w:p>
      <w:pPr>
        <w:pStyle w:val="ListParagraph"/>
        <w:numPr>
          <w:ilvl w:val="0"/>
          <w:numId w:val="2"/>
        </w:numPr>
        <w:spacing w:after="60"/>
      </w:pPr>
      <w:r>
        <w:rPr>
          <w:rFonts w:ascii="Arial" w:cs="Arial" w:eastAsia="Arial" w:hAnsi="Arial"/>
          <w:color w:val="334155"/>
          <w:sz w:val="20"/>
          <w:szCs w:val="20"/>
        </w:rPr>
        <w:t xml:space="preserve">Overseas / deployment loss → flag for MOD liaison in Stage 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660"/>
        <w:gridCol w:w="800"/>
      </w:tblGrid>
      <w:tr>
        <w:tc>
          <w:tcPr>
            <w:tcW w:type="dxa" w:w="900"/>
            <w:tcBorders>
              <w:top w:val="none" w:color="FFFFFF" w:sz="0"/>
              <w:left w:val="none" w:color="FFFFFF" w:sz="0"/>
              <w:bottom w:val="none" w:color="FFFFFF" w:sz="0"/>
              <w:right w:val="none" w:color="FFFFFF" w:sz="0"/>
            </w:tcBorders>
            <w:shd w:fill="0D7A6B" w:val="clear"/>
            <w:tcMar>
              <w:top w:type="dxa" w:w="120"/>
              <w:left w:type="dxa" w:w="160"/>
              <w:bottom w:type="dxa" w:w="120"/>
              <w:right w:type="dxa" w:w="80"/>
            </w:tcMar>
            <w:vAlign w:val="center"/>
          </w:tcPr>
          <w:p>
            <w:pPr>
              <w:jc w:val="center"/>
            </w:pPr>
            <w:r>
              <w:rPr>
                <w:rFonts w:ascii="Arial" w:cs="Arial" w:eastAsia="Arial" w:hAnsi="Arial"/>
                <w:b/>
                <w:bCs/>
                <w:color w:val="FFFFFF"/>
                <w:sz w:val="26"/>
                <w:szCs w:val="26"/>
              </w:rPr>
              <w:t xml:space="preserve">Stage 3</w:t>
            </w:r>
          </w:p>
        </w:tc>
        <w:tc>
          <w:tcPr>
            <w:tcW w:type="dxa" w:w="7660"/>
            <w:tcBorders>
              <w:top w:val="none" w:color="FFFFFF" w:sz="0"/>
              <w:left w:val="none" w:color="FFFFFF" w:sz="0"/>
              <w:bottom w:val="none" w:color="FFFFFF" w:sz="0"/>
              <w:right w:val="none" w:color="FFFFFF" w:sz="0"/>
            </w:tcBorders>
            <w:shd w:fill="1B2A4A" w:val="clear"/>
            <w:tcMar>
              <w:top w:type="dxa" w:w="120"/>
              <w:left w:type="dxa" w:w="160"/>
              <w:bottom w:type="dxa" w:w="120"/>
              <w:right w:type="dxa" w:w="80"/>
            </w:tcMar>
            <w:vAlign w:val="center"/>
          </w:tcPr>
          <w:p>
            <w:r>
              <w:rPr>
                <w:rFonts w:ascii="Arial" w:cs="Arial" w:eastAsia="Arial" w:hAnsi="Arial"/>
                <w:b/>
                <w:bCs/>
                <w:color w:val="FFFFFF"/>
                <w:sz w:val="26"/>
                <w:szCs w:val="26"/>
              </w:rPr>
              <w:t xml:space="preserve">Investigation &amp; Evidence</w:t>
            </w:r>
          </w:p>
        </w:tc>
        <w:tc>
          <w:tcPr>
            <w:tcW w:type="dxa" w:w="800"/>
            <w:tcBorders>
              <w:top w:val="none" w:color="FFFFFF" w:sz="0"/>
              <w:left w:val="none" w:color="FFFFFF" w:sz="0"/>
              <w:bottom w:val="none" w:color="FFFFFF" w:sz="0"/>
              <w:right w:val="none" w:color="FFFFFF" w:sz="0"/>
            </w:tcBorders>
            <w:shd w:fill="0D7A6B" w:val="clear"/>
            <w:tcMar>
              <w:top w:type="dxa" w:w="120"/>
              <w:left w:type="dxa" w:w="80"/>
              <w:bottom w:type="dxa" w:w="120"/>
              <w:right w:type="dxa" w:w="120"/>
            </w:tcMar>
            <w:vAlign w:val="center"/>
          </w:tcPr>
          <w:p>
            <w:pPr>
              <w:jc w:val="center"/>
            </w:pPr>
            <w:r>
              <w:rPr>
                <w:rFonts w:ascii="Arial" w:cs="Arial" w:eastAsia="Arial" w:hAnsi="Arial"/>
                <w:b/>
                <w:bCs/>
                <w:color w:val="FFFFFF"/>
                <w:sz w:val="18"/>
                <w:szCs w:val="18"/>
              </w:rPr>
              <w:t xml:space="preserve">SLA: 5 working days</w:t>
            </w:r>
          </w:p>
        </w:tc>
      </w:tr>
    </w:tbl>
    <w:p>
      <w:pPr>
        <w:spacing w:after="80"/>
      </w:pPr>
      <w:r>
        <w:t xml:space="preserve"/>
      </w:r>
    </w:p>
    <w:p>
      <w:pPr>
        <w:pStyle w:val="Heading3"/>
      </w:pPr>
      <w:r>
        <w:rPr>
          <w:rFonts w:ascii="Arial" w:cs="Arial" w:eastAsia="Arial" w:hAnsi="Arial"/>
          <w:b/>
          <w:bCs/>
          <w:color w:val="334155"/>
          <w:sz w:val="22"/>
          <w:szCs w:val="22"/>
        </w:rPr>
        <w:t xml:space="preserve">Steps</w:t>
      </w:r>
    </w:p>
    <w:p>
      <w:pPr>
        <w:pStyle w:val="ListParagraph"/>
        <w:numPr>
          <w:ilvl w:val="0"/>
          <w:numId w:val="2"/>
        </w:numPr>
        <w:spacing w:after="60"/>
      </w:pPr>
      <w:r>
        <w:rPr>
          <w:rFonts w:ascii="Arial" w:cs="Arial" w:eastAsia="Arial" w:hAnsi="Arial"/>
          <w:color w:val="334155"/>
          <w:sz w:val="20"/>
          <w:szCs w:val="20"/>
        </w:rPr>
        <w:t xml:space="preserve">3.1 Document collection — MOD Form 1 (issued kit), police crime reference (theft), purchase receipts</w:t>
      </w:r>
    </w:p>
    <w:p>
      <w:pPr>
        <w:pStyle w:val="ListParagraph"/>
        <w:numPr>
          <w:ilvl w:val="0"/>
          <w:numId w:val="2"/>
        </w:numPr>
        <w:spacing w:after="60"/>
      </w:pPr>
      <w:r>
        <w:rPr>
          <w:rFonts w:ascii="Arial" w:cs="Arial" w:eastAsia="Arial" w:hAnsi="Arial"/>
          <w:color w:val="334155"/>
          <w:sz w:val="20"/>
          <w:szCs w:val="20"/>
        </w:rPr>
        <w:t xml:space="preserve">3.2 Claimant photo upload (damage claims)</w:t>
      </w:r>
    </w:p>
    <w:p>
      <w:pPr>
        <w:pStyle w:val="ListParagraph"/>
        <w:numPr>
          <w:ilvl w:val="0"/>
          <w:numId w:val="2"/>
        </w:numPr>
        <w:spacing w:after="60"/>
      </w:pPr>
      <w:r>
        <w:rPr>
          <w:rFonts w:ascii="Arial" w:cs="Arial" w:eastAsia="Arial" w:hAnsi="Arial"/>
          <w:color w:val="334155"/>
          <w:sz w:val="20"/>
          <w:szCs w:val="20"/>
        </w:rPr>
        <w:t xml:space="preserve">3.3 AI image analysis — vision model analyses photos; outputs damage description, severity, item ID</w:t>
      </w:r>
    </w:p>
    <w:p>
      <w:pPr>
        <w:pStyle w:val="ListParagraph"/>
        <w:numPr>
          <w:ilvl w:val="0"/>
          <w:numId w:val="2"/>
        </w:numPr>
        <w:spacing w:after="60"/>
      </w:pPr>
      <w:r>
        <w:rPr>
          <w:rFonts w:ascii="Arial" w:cs="Arial" w:eastAsia="Arial" w:hAnsi="Arial"/>
          <w:color w:val="334155"/>
          <w:sz w:val="20"/>
          <w:szCs w:val="20"/>
        </w:rPr>
        <w:t xml:space="preserve">3.4 Handler reviews image analysis findings — confirms or requests additional photos</w:t>
      </w:r>
    </w:p>
    <w:p>
      <w:pPr>
        <w:pStyle w:val="ListParagraph"/>
        <w:numPr>
          <w:ilvl w:val="0"/>
          <w:numId w:val="2"/>
        </w:numPr>
        <w:spacing w:after="60"/>
      </w:pPr>
      <w:r>
        <w:rPr>
          <w:rFonts w:ascii="Arial" w:cs="Arial" w:eastAsia="Arial" w:hAnsi="Arial"/>
          <w:color w:val="334155"/>
          <w:sz w:val="20"/>
          <w:szCs w:val="20"/>
        </w:rPr>
        <w:t xml:space="preserve">3.5 AI fraud scoring — risk score based on claim history, incident coherence, item values, policy age</w:t>
      </w:r>
    </w:p>
    <w:p>
      <w:pPr>
        <w:pStyle w:val="ListParagraph"/>
        <w:numPr>
          <w:ilvl w:val="0"/>
          <w:numId w:val="2"/>
        </w:numPr>
        <w:spacing w:after="60"/>
      </w:pPr>
      <w:r>
        <w:rPr>
          <w:rFonts w:ascii="Arial" w:cs="Arial" w:eastAsia="Arial" w:hAnsi="Arial"/>
          <w:color w:val="334155"/>
          <w:sz w:val="20"/>
          <w:szCs w:val="20"/>
        </w:rPr>
        <w:t xml:space="preserve">3.6 Handler fraud decision: Low = proceed / Medium = enhanced review / High = spawn SIU child case</w:t>
      </w:r>
    </w:p>
    <w:p>
      <w:pPr>
        <w:pStyle w:val="ListParagraph"/>
        <w:numPr>
          <w:ilvl w:val="0"/>
          <w:numId w:val="2"/>
        </w:numPr>
        <w:spacing w:after="60"/>
      </w:pPr>
      <w:r>
        <w:rPr>
          <w:rFonts w:ascii="Arial" w:cs="Arial" w:eastAsia="Arial" w:hAnsi="Arial"/>
          <w:color w:val="334155"/>
          <w:sz w:val="20"/>
          <w:szCs w:val="20"/>
        </w:rPr>
        <w:t xml:space="preserve">3.7 Evidence completeness check before advancing to Stage 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Active (Image)</w:t>
            </w:r>
          </w:p>
        </w:tc>
        <w:tc>
          <w:tcPr>
            <w:tcW w:type="dxa" w:w="8260"/>
            <w:tcBorders>
              <w:top w:val="none" w:color="FFFFFF" w:sz="0"/>
              <w:left w:val="none" w:color="FFFFFF" w:sz="0"/>
              <w:bottom w:val="none" w:color="FFFFFF" w:sz="0"/>
              <w:right w:val="none" w:color="FFFFFF" w:sz="0"/>
            </w:tcBorders>
            <w:shd w:fill="FEF3C7" w:val="clear"/>
            <w:tcMar>
              <w:top w:type="dxa" w:w="80"/>
              <w:left w:type="dxa" w:w="160"/>
              <w:bottom w:type="dxa" w:w="80"/>
              <w:right w:type="dxa" w:w="120"/>
            </w:tcMar>
          </w:tcPr>
          <w:p>
            <w:r>
              <w:rPr>
                <w:rFonts w:ascii="Arial" w:cs="Arial" w:eastAsia="Arial" w:hAnsi="Arial"/>
                <w:color w:val="334155"/>
                <w:sz w:val="20"/>
                <w:szCs w:val="20"/>
              </w:rPr>
              <w:t xml:space="preserve">Vision model via GenAI Connect. Damage photos sent to LLM. Output: item identified, damage severity (superficial/moderate/severe), inconsistency flags.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Active (Fraud)</w:t>
            </w:r>
          </w:p>
        </w:tc>
        <w:tc>
          <w:tcPr>
            <w:tcW w:type="dxa" w:w="8260"/>
            <w:tcBorders>
              <w:top w:val="none" w:color="FFFFFF" w:sz="0"/>
              <w:left w:val="none" w:color="FFFFFF" w:sz="0"/>
              <w:bottom w:val="none" w:color="FFFFFF" w:sz="0"/>
              <w:right w:val="none" w:color="FFFFFF" w:sz="0"/>
            </w:tcBorders>
            <w:shd w:fill="FEF3C7" w:val="clear"/>
            <w:tcMar>
              <w:top w:type="dxa" w:w="80"/>
              <w:left w:type="dxa" w:w="160"/>
              <w:bottom w:type="dxa" w:w="80"/>
              <w:right w:type="dxa" w:w="120"/>
            </w:tcMar>
          </w:tcPr>
          <w:p>
            <w:r>
              <w:rPr>
                <w:rFonts w:ascii="Arial" w:cs="Arial" w:eastAsia="Arial" w:hAnsi="Arial"/>
                <w:color w:val="334155"/>
                <w:sz w:val="20"/>
                <w:szCs w:val="20"/>
              </w:rPr>
              <w:t xml:space="preserve">Risk scoring model via GenAI Connect. Analyses: claim frequency, incident narrative coherence, item value vs cover level, policy inception vs claim date.</w:t>
            </w:r>
          </w:p>
        </w:tc>
      </w:tr>
    </w:tbl>
    <w:p>
      <w:pPr>
        <w:spacing w:after="80"/>
      </w:pPr>
      <w:r>
        <w:t xml:space="preserve"/>
      </w:r>
    </w:p>
    <w:p>
      <w:pPr>
        <w:pStyle w:val="Heading3"/>
      </w:pPr>
      <w:r>
        <w:rPr>
          <w:rFonts w:ascii="Arial" w:cs="Arial" w:eastAsia="Arial" w:hAnsi="Arial"/>
          <w:b/>
          <w:bCs/>
          <w:color w:val="334155"/>
          <w:sz w:val="22"/>
          <w:szCs w:val="22"/>
        </w:rPr>
        <w:t xml:space="preserve">Exception Paths</w:t>
      </w:r>
    </w:p>
    <w:p>
      <w:pPr>
        <w:pStyle w:val="ListParagraph"/>
        <w:numPr>
          <w:ilvl w:val="0"/>
          <w:numId w:val="2"/>
        </w:numPr>
        <w:spacing w:after="60"/>
      </w:pPr>
      <w:r>
        <w:rPr>
          <w:rFonts w:ascii="Arial" w:cs="Arial" w:eastAsia="Arial" w:hAnsi="Arial"/>
          <w:color w:val="334155"/>
          <w:sz w:val="20"/>
          <w:szCs w:val="20"/>
        </w:rPr>
        <w:t xml:space="preserve">Missing police reference → chase letter issued; case held at Step 3.7</w:t>
      </w:r>
    </w:p>
    <w:p>
      <w:pPr>
        <w:pStyle w:val="ListParagraph"/>
        <w:numPr>
          <w:ilvl w:val="0"/>
          <w:numId w:val="2"/>
        </w:numPr>
        <w:spacing w:after="60"/>
      </w:pPr>
      <w:r>
        <w:rPr>
          <w:rFonts w:ascii="Arial" w:cs="Arial" w:eastAsia="Arial" w:hAnsi="Arial"/>
          <w:color w:val="334155"/>
          <w:sz w:val="20"/>
          <w:szCs w:val="20"/>
        </w:rPr>
        <w:t xml:space="preserve">High fraud score → SIU child case spawned; parent case paused pending SIU outcome</w:t>
      </w:r>
    </w:p>
    <w:p>
      <w:pPr>
        <w:pStyle w:val="ListParagraph"/>
        <w:numPr>
          <w:ilvl w:val="0"/>
          <w:numId w:val="2"/>
        </w:numPr>
        <w:spacing w:after="60"/>
      </w:pPr>
      <w:r>
        <w:rPr>
          <w:rFonts w:ascii="Arial" w:cs="Arial" w:eastAsia="Arial" w:hAnsi="Arial"/>
          <w:color w:val="334155"/>
          <w:sz w:val="20"/>
          <w:szCs w:val="20"/>
        </w:rPr>
        <w:t xml:space="preserve">Photos insufficient → claimant notified; re-submission requested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660"/>
        <w:gridCol w:w="800"/>
      </w:tblGrid>
      <w:tr>
        <w:tc>
          <w:tcPr>
            <w:tcW w:type="dxa" w:w="900"/>
            <w:tcBorders>
              <w:top w:val="none" w:color="FFFFFF" w:sz="0"/>
              <w:left w:val="none" w:color="FFFFFF" w:sz="0"/>
              <w:bottom w:val="none" w:color="FFFFFF" w:sz="0"/>
              <w:right w:val="none" w:color="FFFFFF" w:sz="0"/>
            </w:tcBorders>
            <w:shd w:fill="0D7A6B" w:val="clear"/>
            <w:tcMar>
              <w:top w:type="dxa" w:w="120"/>
              <w:left w:type="dxa" w:w="160"/>
              <w:bottom w:type="dxa" w:w="120"/>
              <w:right w:type="dxa" w:w="80"/>
            </w:tcMar>
            <w:vAlign w:val="center"/>
          </w:tcPr>
          <w:p>
            <w:pPr>
              <w:jc w:val="center"/>
            </w:pPr>
            <w:r>
              <w:rPr>
                <w:rFonts w:ascii="Arial" w:cs="Arial" w:eastAsia="Arial" w:hAnsi="Arial"/>
                <w:b/>
                <w:bCs/>
                <w:color w:val="FFFFFF"/>
                <w:sz w:val="26"/>
                <w:szCs w:val="26"/>
              </w:rPr>
              <w:t xml:space="preserve">Stage 4</w:t>
            </w:r>
          </w:p>
        </w:tc>
        <w:tc>
          <w:tcPr>
            <w:tcW w:type="dxa" w:w="7660"/>
            <w:tcBorders>
              <w:top w:val="none" w:color="FFFFFF" w:sz="0"/>
              <w:left w:val="none" w:color="FFFFFF" w:sz="0"/>
              <w:bottom w:val="none" w:color="FFFFFF" w:sz="0"/>
              <w:right w:val="none" w:color="FFFFFF" w:sz="0"/>
            </w:tcBorders>
            <w:shd w:fill="1B2A4A" w:val="clear"/>
            <w:tcMar>
              <w:top w:type="dxa" w:w="120"/>
              <w:left w:type="dxa" w:w="160"/>
              <w:bottom w:type="dxa" w:w="120"/>
              <w:right w:type="dxa" w:w="80"/>
            </w:tcMar>
            <w:vAlign w:val="center"/>
          </w:tcPr>
          <w:p>
            <w:r>
              <w:rPr>
                <w:rFonts w:ascii="Arial" w:cs="Arial" w:eastAsia="Arial" w:hAnsi="Arial"/>
                <w:b/>
                <w:bCs/>
                <w:color w:val="FFFFFF"/>
                <w:sz w:val="26"/>
                <w:szCs w:val="26"/>
              </w:rPr>
              <w:t xml:space="preserve">Assessment &amp; Valuation</w:t>
            </w:r>
          </w:p>
        </w:tc>
        <w:tc>
          <w:tcPr>
            <w:tcW w:type="dxa" w:w="800"/>
            <w:tcBorders>
              <w:top w:val="none" w:color="FFFFFF" w:sz="0"/>
              <w:left w:val="none" w:color="FFFFFF" w:sz="0"/>
              <w:bottom w:val="none" w:color="FFFFFF" w:sz="0"/>
              <w:right w:val="none" w:color="FFFFFF" w:sz="0"/>
            </w:tcBorders>
            <w:shd w:fill="0D7A6B" w:val="clear"/>
            <w:tcMar>
              <w:top w:type="dxa" w:w="120"/>
              <w:left w:type="dxa" w:w="80"/>
              <w:bottom w:type="dxa" w:w="120"/>
              <w:right w:type="dxa" w:w="120"/>
            </w:tcMar>
            <w:vAlign w:val="center"/>
          </w:tcPr>
          <w:p>
            <w:pPr>
              <w:jc w:val="center"/>
            </w:pPr>
            <w:r>
              <w:rPr>
                <w:rFonts w:ascii="Arial" w:cs="Arial" w:eastAsia="Arial" w:hAnsi="Arial"/>
                <w:b/>
                <w:bCs/>
                <w:color w:val="FFFFFF"/>
                <w:sz w:val="18"/>
                <w:szCs w:val="18"/>
              </w:rPr>
              <w:t xml:space="preserve">SLA: 10 working days</w:t>
            </w:r>
          </w:p>
        </w:tc>
      </w:tr>
    </w:tbl>
    <w:p>
      <w:pPr>
        <w:spacing w:after="80"/>
      </w:pPr>
      <w:r>
        <w:t xml:space="preserve"/>
      </w:r>
    </w:p>
    <w:p>
      <w:pPr>
        <w:pStyle w:val="Heading3"/>
      </w:pPr>
      <w:r>
        <w:rPr>
          <w:rFonts w:ascii="Arial" w:cs="Arial" w:eastAsia="Arial" w:hAnsi="Arial"/>
          <w:b/>
          <w:bCs/>
          <w:color w:val="334155"/>
          <w:sz w:val="22"/>
          <w:szCs w:val="22"/>
        </w:rPr>
        <w:t xml:space="preserve">Steps</w:t>
      </w:r>
    </w:p>
    <w:p>
      <w:pPr>
        <w:pStyle w:val="ListParagraph"/>
        <w:numPr>
          <w:ilvl w:val="0"/>
          <w:numId w:val="2"/>
        </w:numPr>
        <w:spacing w:after="60"/>
      </w:pPr>
      <w:r>
        <w:rPr>
          <w:rFonts w:ascii="Arial" w:cs="Arial" w:eastAsia="Arial" w:hAnsi="Arial"/>
          <w:color w:val="334155"/>
          <w:sz w:val="20"/>
          <w:szCs w:val="20"/>
        </w:rPr>
        <w:t xml:space="preserve">4.1 Handler reviews each item using evidence gathered in Stage 3 including AI image findings</w:t>
      </w:r>
    </w:p>
    <w:p>
      <w:pPr>
        <w:pStyle w:val="ListParagraph"/>
        <w:numPr>
          <w:ilvl w:val="0"/>
          <w:numId w:val="2"/>
        </w:numPr>
        <w:spacing w:after="60"/>
      </w:pPr>
      <w:r>
        <w:rPr>
          <w:rFonts w:ascii="Arial" w:cs="Arial" w:eastAsia="Arial" w:hAnsi="Arial"/>
          <w:color w:val="334155"/>
          <w:sz w:val="20"/>
          <w:szCs w:val="20"/>
        </w:rPr>
        <w:t xml:space="preserve">4.2 Depreciation applied per policy schedule</w:t>
      </w:r>
    </w:p>
    <w:p>
      <w:pPr>
        <w:pStyle w:val="ListParagraph"/>
        <w:numPr>
          <w:ilvl w:val="0"/>
          <w:numId w:val="2"/>
        </w:numPr>
        <w:spacing w:after="60"/>
      </w:pPr>
      <w:r>
        <w:rPr>
          <w:rFonts w:ascii="Arial" w:cs="Arial" w:eastAsia="Arial" w:hAnsi="Arial"/>
          <w:color w:val="334155"/>
          <w:sz w:val="20"/>
          <w:szCs w:val="20"/>
        </w:rPr>
        <w:t xml:space="preserve">4.3 Repair vs replace decision made by handler</w:t>
      </w:r>
    </w:p>
    <w:p>
      <w:pPr>
        <w:pStyle w:val="ListParagraph"/>
        <w:numPr>
          <w:ilvl w:val="0"/>
          <w:numId w:val="2"/>
        </w:numPr>
        <w:spacing w:after="60"/>
      </w:pPr>
      <w:r>
        <w:rPr>
          <w:rFonts w:ascii="Arial" w:cs="Arial" w:eastAsia="Arial" w:hAnsi="Arial"/>
          <w:color w:val="334155"/>
          <w:sz w:val="20"/>
          <w:szCs w:val="20"/>
        </w:rPr>
        <w:t xml:space="preserve">4.4 High-value or specialist items → spawn Item Assessment child case (third-party assessor)</w:t>
      </w:r>
    </w:p>
    <w:p>
      <w:pPr>
        <w:pStyle w:val="ListParagraph"/>
        <w:numPr>
          <w:ilvl w:val="0"/>
          <w:numId w:val="2"/>
        </w:numPr>
        <w:spacing w:after="60"/>
      </w:pPr>
      <w:r>
        <w:rPr>
          <w:rFonts w:ascii="Arial" w:cs="Arial" w:eastAsia="Arial" w:hAnsi="Arial"/>
          <w:color w:val="334155"/>
          <w:sz w:val="20"/>
          <w:szCs w:val="20"/>
        </w:rPr>
        <w:t xml:space="preserve">4.5 MOD-issued kit → MOD pricing schedule applied rather than consumer market rate</w:t>
      </w:r>
    </w:p>
    <w:p>
      <w:pPr>
        <w:pStyle w:val="ListParagraph"/>
        <w:numPr>
          <w:ilvl w:val="0"/>
          <w:numId w:val="2"/>
        </w:numPr>
        <w:spacing w:after="60"/>
      </w:pPr>
      <w:r>
        <w:rPr>
          <w:rFonts w:ascii="Arial" w:cs="Arial" w:eastAsia="Arial" w:hAnsi="Arial"/>
          <w:color w:val="334155"/>
          <w:sz w:val="20"/>
          <w:szCs w:val="20"/>
        </w:rPr>
        <w:t xml:space="preserve">4.6 Quantum agreed and documented on case</w:t>
      </w:r>
    </w:p>
    <w:p>
      <w:pPr>
        <w:spacing w:after="80"/>
      </w:pPr>
      <w:r>
        <w:t xml:space="preserve"/>
      </w:r>
    </w:p>
    <w:p>
      <w:pPr>
        <w:pStyle w:val="Heading3"/>
      </w:pPr>
      <w:r>
        <w:rPr>
          <w:rFonts w:ascii="Arial" w:cs="Arial" w:eastAsia="Arial" w:hAnsi="Arial"/>
          <w:b/>
          <w:bCs/>
          <w:color w:val="334155"/>
          <w:sz w:val="22"/>
          <w:szCs w:val="22"/>
        </w:rPr>
        <w:t xml:space="preserve">Exception Paths</w:t>
      </w:r>
    </w:p>
    <w:p>
      <w:pPr>
        <w:pStyle w:val="ListParagraph"/>
        <w:numPr>
          <w:ilvl w:val="0"/>
          <w:numId w:val="2"/>
        </w:numPr>
        <w:spacing w:after="60"/>
      </w:pPr>
      <w:r>
        <w:rPr>
          <w:rFonts w:ascii="Arial" w:cs="Arial" w:eastAsia="Arial" w:hAnsi="Arial"/>
          <w:color w:val="334155"/>
          <w:sz w:val="20"/>
          <w:szCs w:val="20"/>
        </w:rPr>
        <w:t xml:space="preserve">Specialist item (weapons, optical equipment) → third-party assessor engagement</w:t>
      </w:r>
    </w:p>
    <w:p>
      <w:pPr>
        <w:pStyle w:val="ListParagraph"/>
        <w:numPr>
          <w:ilvl w:val="0"/>
          <w:numId w:val="2"/>
        </w:numPr>
        <w:spacing w:after="60"/>
      </w:pPr>
      <w:r>
        <w:rPr>
          <w:rFonts w:ascii="Arial" w:cs="Arial" w:eastAsia="Arial" w:hAnsi="Arial"/>
          <w:color w:val="334155"/>
          <w:sz w:val="20"/>
          <w:szCs w:val="20"/>
        </w:rPr>
        <w:t xml:space="preserve">Value disputed by handler → additional evidence requested; case held</w:t>
      </w:r>
    </w:p>
    <w:p>
      <w:pPr>
        <w:pStyle w:val="ListParagraph"/>
        <w:numPr>
          <w:ilvl w:val="0"/>
          <w:numId w:val="2"/>
        </w:numPr>
        <w:spacing w:after="60"/>
      </w:pPr>
      <w:r>
        <w:rPr>
          <w:rFonts w:ascii="Arial" w:cs="Arial" w:eastAsia="Arial" w:hAnsi="Arial"/>
          <w:color w:val="334155"/>
          <w:sz w:val="20"/>
          <w:szCs w:val="20"/>
        </w:rPr>
        <w:t xml:space="preserve">Deployed kit → MOD supply chain replacement route considered as alternative to cash settlement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660"/>
        <w:gridCol w:w="800"/>
      </w:tblGrid>
      <w:tr>
        <w:tc>
          <w:tcPr>
            <w:tcW w:type="dxa" w:w="900"/>
            <w:tcBorders>
              <w:top w:val="none" w:color="FFFFFF" w:sz="0"/>
              <w:left w:val="none" w:color="FFFFFF" w:sz="0"/>
              <w:bottom w:val="none" w:color="FFFFFF" w:sz="0"/>
              <w:right w:val="none" w:color="FFFFFF" w:sz="0"/>
            </w:tcBorders>
            <w:shd w:fill="0D7A6B" w:val="clear"/>
            <w:tcMar>
              <w:top w:type="dxa" w:w="120"/>
              <w:left w:type="dxa" w:w="160"/>
              <w:bottom w:type="dxa" w:w="120"/>
              <w:right w:type="dxa" w:w="80"/>
            </w:tcMar>
            <w:vAlign w:val="center"/>
          </w:tcPr>
          <w:p>
            <w:pPr>
              <w:jc w:val="center"/>
            </w:pPr>
            <w:r>
              <w:rPr>
                <w:rFonts w:ascii="Arial" w:cs="Arial" w:eastAsia="Arial" w:hAnsi="Arial"/>
                <w:b/>
                <w:bCs/>
                <w:color w:val="FFFFFF"/>
                <w:sz w:val="26"/>
                <w:szCs w:val="26"/>
              </w:rPr>
              <w:t xml:space="preserve">Stage 5</w:t>
            </w:r>
          </w:p>
        </w:tc>
        <w:tc>
          <w:tcPr>
            <w:tcW w:type="dxa" w:w="7660"/>
            <w:tcBorders>
              <w:top w:val="none" w:color="FFFFFF" w:sz="0"/>
              <w:left w:val="none" w:color="FFFFFF" w:sz="0"/>
              <w:bottom w:val="none" w:color="FFFFFF" w:sz="0"/>
              <w:right w:val="none" w:color="FFFFFF" w:sz="0"/>
            </w:tcBorders>
            <w:shd w:fill="1B2A4A" w:val="clear"/>
            <w:tcMar>
              <w:top w:type="dxa" w:w="120"/>
              <w:left w:type="dxa" w:w="160"/>
              <w:bottom w:type="dxa" w:w="120"/>
              <w:right w:type="dxa" w:w="80"/>
            </w:tcMar>
            <w:vAlign w:val="center"/>
          </w:tcPr>
          <w:p>
            <w:r>
              <w:rPr>
                <w:rFonts w:ascii="Arial" w:cs="Arial" w:eastAsia="Arial" w:hAnsi="Arial"/>
                <w:b/>
                <w:bCs/>
                <w:color w:val="FFFFFF"/>
                <w:sz w:val="26"/>
                <w:szCs w:val="26"/>
              </w:rPr>
              <w:t xml:space="preserve">Decision &amp; Offer</w:t>
            </w:r>
          </w:p>
        </w:tc>
        <w:tc>
          <w:tcPr>
            <w:tcW w:type="dxa" w:w="800"/>
            <w:tcBorders>
              <w:top w:val="none" w:color="FFFFFF" w:sz="0"/>
              <w:left w:val="none" w:color="FFFFFF" w:sz="0"/>
              <w:bottom w:val="none" w:color="FFFFFF" w:sz="0"/>
              <w:right w:val="none" w:color="FFFFFF" w:sz="0"/>
            </w:tcBorders>
            <w:shd w:fill="0D7A6B" w:val="clear"/>
            <w:tcMar>
              <w:top w:type="dxa" w:w="120"/>
              <w:left w:type="dxa" w:w="80"/>
              <w:bottom w:type="dxa" w:w="120"/>
              <w:right w:type="dxa" w:w="120"/>
            </w:tcMar>
            <w:vAlign w:val="center"/>
          </w:tcPr>
          <w:p>
            <w:pPr>
              <w:jc w:val="center"/>
            </w:pPr>
            <w:r>
              <w:rPr>
                <w:rFonts w:ascii="Arial" w:cs="Arial" w:eastAsia="Arial" w:hAnsi="Arial"/>
                <w:b/>
                <w:bCs/>
                <w:color w:val="FFFFFF"/>
                <w:sz w:val="18"/>
                <w:szCs w:val="18"/>
              </w:rPr>
              <w:t xml:space="preserve">SLA: 3 working days</w:t>
            </w:r>
          </w:p>
        </w:tc>
      </w:tr>
    </w:tbl>
    <w:p>
      <w:pPr>
        <w:spacing w:after="80"/>
      </w:pPr>
      <w:r>
        <w:t xml:space="preserve"/>
      </w:r>
    </w:p>
    <w:p>
      <w:pPr>
        <w:pStyle w:val="Heading3"/>
      </w:pPr>
      <w:r>
        <w:rPr>
          <w:rFonts w:ascii="Arial" w:cs="Arial" w:eastAsia="Arial" w:hAnsi="Arial"/>
          <w:b/>
          <w:bCs/>
          <w:color w:val="334155"/>
          <w:sz w:val="22"/>
          <w:szCs w:val="22"/>
        </w:rPr>
        <w:t xml:space="preserve">Steps</w:t>
      </w:r>
    </w:p>
    <w:p>
      <w:pPr>
        <w:pStyle w:val="ListParagraph"/>
        <w:numPr>
          <w:ilvl w:val="0"/>
          <w:numId w:val="2"/>
        </w:numPr>
        <w:spacing w:after="60"/>
      </w:pPr>
      <w:r>
        <w:rPr>
          <w:rFonts w:ascii="Arial" w:cs="Arial" w:eastAsia="Arial" w:hAnsi="Arial"/>
          <w:color w:val="334155"/>
          <w:sz w:val="20"/>
          <w:szCs w:val="20"/>
        </w:rPr>
        <w:t xml:space="preserve">5.1 Claims manager makes final decision: full acceptance / partial acceptance / repudiation</w:t>
      </w:r>
    </w:p>
    <w:p>
      <w:pPr>
        <w:pStyle w:val="ListParagraph"/>
        <w:numPr>
          <w:ilvl w:val="0"/>
          <w:numId w:val="2"/>
        </w:numPr>
        <w:spacing w:after="60"/>
      </w:pPr>
      <w:r>
        <w:rPr>
          <w:rFonts w:ascii="Arial" w:cs="Arial" w:eastAsia="Arial" w:hAnsi="Arial"/>
          <w:color w:val="334155"/>
          <w:sz w:val="20"/>
          <w:szCs w:val="20"/>
        </w:rPr>
        <w:t xml:space="preserve">5.2 Settlement offer prepared with itemised breakdown</w:t>
      </w:r>
    </w:p>
    <w:p>
      <w:pPr>
        <w:pStyle w:val="ListParagraph"/>
        <w:numPr>
          <w:ilvl w:val="0"/>
          <w:numId w:val="2"/>
        </w:numPr>
        <w:spacing w:after="60"/>
      </w:pPr>
      <w:r>
        <w:rPr>
          <w:rFonts w:ascii="Arial" w:cs="Arial" w:eastAsia="Arial" w:hAnsi="Arial"/>
          <w:color w:val="334155"/>
          <w:sz w:val="20"/>
          <w:szCs w:val="20"/>
        </w:rPr>
        <w:t xml:space="preserve">5.3 Formal offer letter sent to claimant</w:t>
      </w:r>
    </w:p>
    <w:p>
      <w:pPr>
        <w:pStyle w:val="ListParagraph"/>
        <w:numPr>
          <w:ilvl w:val="0"/>
          <w:numId w:val="2"/>
        </w:numPr>
        <w:spacing w:after="60"/>
      </w:pPr>
      <w:r>
        <w:rPr>
          <w:rFonts w:ascii="Arial" w:cs="Arial" w:eastAsia="Arial" w:hAnsi="Arial"/>
          <w:color w:val="334155"/>
          <w:sz w:val="20"/>
          <w:szCs w:val="20"/>
        </w:rPr>
        <w:t xml:space="preserve">5.4 FOS (Financial Ombudsman Service) signposting included on any repudiation (FCA mandatory)</w:t>
      </w:r>
    </w:p>
    <w:p>
      <w:pPr>
        <w:pStyle w:val="ListParagraph"/>
        <w:numPr>
          <w:ilvl w:val="0"/>
          <w:numId w:val="2"/>
        </w:numPr>
        <w:spacing w:after="60"/>
      </w:pPr>
      <w:r>
        <w:rPr>
          <w:rFonts w:ascii="Arial" w:cs="Arial" w:eastAsia="Arial" w:hAnsi="Arial"/>
          <w:color w:val="334155"/>
          <w:sz w:val="20"/>
          <w:szCs w:val="20"/>
        </w:rPr>
        <w:t xml:space="preserve">5.5 If claimant disputes → spawn Dispute/Litigation child case</w:t>
      </w:r>
    </w:p>
    <w:p>
      <w:pPr>
        <w:spacing w:after="80"/>
      </w:pPr>
      <w:r>
        <w:t xml:space="preserve"/>
      </w:r>
    </w:p>
    <w:p>
      <w:pPr>
        <w:pStyle w:val="Heading3"/>
      </w:pPr>
      <w:r>
        <w:rPr>
          <w:rFonts w:ascii="Arial" w:cs="Arial" w:eastAsia="Arial" w:hAnsi="Arial"/>
          <w:b/>
          <w:bCs/>
          <w:color w:val="334155"/>
          <w:sz w:val="22"/>
          <w:szCs w:val="22"/>
        </w:rPr>
        <w:t xml:space="preserve">Exception Paths</w:t>
      </w:r>
    </w:p>
    <w:p>
      <w:pPr>
        <w:pStyle w:val="ListParagraph"/>
        <w:numPr>
          <w:ilvl w:val="0"/>
          <w:numId w:val="2"/>
        </w:numPr>
        <w:spacing w:after="60"/>
      </w:pPr>
      <w:r>
        <w:rPr>
          <w:rFonts w:ascii="Arial" w:cs="Arial" w:eastAsia="Arial" w:hAnsi="Arial"/>
          <w:color w:val="334155"/>
          <w:sz w:val="20"/>
          <w:szCs w:val="20"/>
        </w:rPr>
        <w:t xml:space="preserve">Claimant disputes → Dispute child case created; parent case Stage 5 remains open</w:t>
      </w:r>
    </w:p>
    <w:p>
      <w:pPr>
        <w:pStyle w:val="ListParagraph"/>
        <w:numPr>
          <w:ilvl w:val="0"/>
          <w:numId w:val="2"/>
        </w:numPr>
        <w:spacing w:after="60"/>
      </w:pPr>
      <w:r>
        <w:rPr>
          <w:rFonts w:ascii="Arial" w:cs="Arial" w:eastAsia="Arial" w:hAnsi="Arial"/>
          <w:color w:val="334155"/>
          <w:sz w:val="20"/>
          <w:szCs w:val="20"/>
        </w:rPr>
        <w:t xml:space="preserve">Partial repudiation → itemised rejection rationale required per FCA guidelines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660"/>
        <w:gridCol w:w="800"/>
      </w:tblGrid>
      <w:tr>
        <w:tc>
          <w:tcPr>
            <w:tcW w:type="dxa" w:w="900"/>
            <w:tcBorders>
              <w:top w:val="none" w:color="FFFFFF" w:sz="0"/>
              <w:left w:val="none" w:color="FFFFFF" w:sz="0"/>
              <w:bottom w:val="none" w:color="FFFFFF" w:sz="0"/>
              <w:right w:val="none" w:color="FFFFFF" w:sz="0"/>
            </w:tcBorders>
            <w:shd w:fill="0D7A6B" w:val="clear"/>
            <w:tcMar>
              <w:top w:type="dxa" w:w="120"/>
              <w:left w:type="dxa" w:w="160"/>
              <w:bottom w:type="dxa" w:w="120"/>
              <w:right w:type="dxa" w:w="80"/>
            </w:tcMar>
            <w:vAlign w:val="center"/>
          </w:tcPr>
          <w:p>
            <w:pPr>
              <w:jc w:val="center"/>
            </w:pPr>
            <w:r>
              <w:rPr>
                <w:rFonts w:ascii="Arial" w:cs="Arial" w:eastAsia="Arial" w:hAnsi="Arial"/>
                <w:b/>
                <w:bCs/>
                <w:color w:val="FFFFFF"/>
                <w:sz w:val="26"/>
                <w:szCs w:val="26"/>
              </w:rPr>
              <w:t xml:space="preserve">Stage 6</w:t>
            </w:r>
          </w:p>
        </w:tc>
        <w:tc>
          <w:tcPr>
            <w:tcW w:type="dxa" w:w="7660"/>
            <w:tcBorders>
              <w:top w:val="none" w:color="FFFFFF" w:sz="0"/>
              <w:left w:val="none" w:color="FFFFFF" w:sz="0"/>
              <w:bottom w:val="none" w:color="FFFFFF" w:sz="0"/>
              <w:right w:val="none" w:color="FFFFFF" w:sz="0"/>
            </w:tcBorders>
            <w:shd w:fill="1B2A4A" w:val="clear"/>
            <w:tcMar>
              <w:top w:type="dxa" w:w="120"/>
              <w:left w:type="dxa" w:w="160"/>
              <w:bottom w:type="dxa" w:w="120"/>
              <w:right w:type="dxa" w:w="80"/>
            </w:tcMar>
            <w:vAlign w:val="center"/>
          </w:tcPr>
          <w:p>
            <w:r>
              <w:rPr>
                <w:rFonts w:ascii="Arial" w:cs="Arial" w:eastAsia="Arial" w:hAnsi="Arial"/>
                <w:b/>
                <w:bCs/>
                <w:color w:val="FFFFFF"/>
                <w:sz w:val="26"/>
                <w:szCs w:val="26"/>
              </w:rPr>
              <w:t xml:space="preserve">Settlement &amp; Payment</w:t>
            </w:r>
          </w:p>
        </w:tc>
        <w:tc>
          <w:tcPr>
            <w:tcW w:type="dxa" w:w="800"/>
            <w:tcBorders>
              <w:top w:val="none" w:color="FFFFFF" w:sz="0"/>
              <w:left w:val="none" w:color="FFFFFF" w:sz="0"/>
              <w:bottom w:val="none" w:color="FFFFFF" w:sz="0"/>
              <w:right w:val="none" w:color="FFFFFF" w:sz="0"/>
            </w:tcBorders>
            <w:shd w:fill="0D7A6B" w:val="clear"/>
            <w:tcMar>
              <w:top w:type="dxa" w:w="120"/>
              <w:left w:type="dxa" w:w="80"/>
              <w:bottom w:type="dxa" w:w="120"/>
              <w:right w:type="dxa" w:w="120"/>
            </w:tcMar>
            <w:vAlign w:val="center"/>
          </w:tcPr>
          <w:p>
            <w:pPr>
              <w:jc w:val="center"/>
            </w:pPr>
            <w:r>
              <w:rPr>
                <w:rFonts w:ascii="Arial" w:cs="Arial" w:eastAsia="Arial" w:hAnsi="Arial"/>
                <w:b/>
                <w:bCs/>
                <w:color w:val="FFFFFF"/>
                <w:sz w:val="18"/>
                <w:szCs w:val="18"/>
              </w:rPr>
              <w:t xml:space="preserve">Target: 30 days total</w:t>
            </w:r>
          </w:p>
        </w:tc>
      </w:tr>
    </w:tbl>
    <w:p>
      <w:pPr>
        <w:spacing w:after="80"/>
      </w:pPr>
      <w:r>
        <w:t xml:space="preserve"/>
      </w:r>
    </w:p>
    <w:p>
      <w:pPr>
        <w:pStyle w:val="Heading3"/>
      </w:pPr>
      <w:r>
        <w:rPr>
          <w:rFonts w:ascii="Arial" w:cs="Arial" w:eastAsia="Arial" w:hAnsi="Arial"/>
          <w:b/>
          <w:bCs/>
          <w:color w:val="334155"/>
          <w:sz w:val="22"/>
          <w:szCs w:val="22"/>
        </w:rPr>
        <w:t xml:space="preserve">Steps</w:t>
      </w:r>
    </w:p>
    <w:p>
      <w:pPr>
        <w:pStyle w:val="ListParagraph"/>
        <w:numPr>
          <w:ilvl w:val="0"/>
          <w:numId w:val="2"/>
        </w:numPr>
        <w:spacing w:after="60"/>
      </w:pPr>
      <w:r>
        <w:rPr>
          <w:rFonts w:ascii="Arial" w:cs="Arial" w:eastAsia="Arial" w:hAnsi="Arial"/>
          <w:color w:val="334155"/>
          <w:sz w:val="20"/>
          <w:szCs w:val="20"/>
        </w:rPr>
        <w:t xml:space="preserve">6.1 Claimant acceptance received (written or portal confirmation)</w:t>
      </w:r>
    </w:p>
    <w:p>
      <w:pPr>
        <w:pStyle w:val="ListParagraph"/>
        <w:numPr>
          <w:ilvl w:val="0"/>
          <w:numId w:val="2"/>
        </w:numPr>
        <w:spacing w:after="60"/>
      </w:pPr>
      <w:r>
        <w:rPr>
          <w:rFonts w:ascii="Arial" w:cs="Arial" w:eastAsia="Arial" w:hAnsi="Arial"/>
          <w:color w:val="334155"/>
          <w:sz w:val="20"/>
          <w:szCs w:val="20"/>
        </w:rPr>
        <w:t xml:space="preserve">6.2 Payment instruction raised</w:t>
      </w:r>
    </w:p>
    <w:p>
      <w:pPr>
        <w:pStyle w:val="ListParagraph"/>
        <w:numPr>
          <w:ilvl w:val="0"/>
          <w:numId w:val="2"/>
        </w:numPr>
        <w:spacing w:after="60"/>
      </w:pPr>
      <w:r>
        <w:rPr>
          <w:rFonts w:ascii="Arial" w:cs="Arial" w:eastAsia="Arial" w:hAnsi="Arial"/>
          <w:color w:val="334155"/>
          <w:sz w:val="20"/>
          <w:szCs w:val="20"/>
        </w:rPr>
        <w:t xml:space="preserve">6.3 BACS processing</w:t>
      </w:r>
    </w:p>
    <w:p>
      <w:pPr>
        <w:pStyle w:val="ListParagraph"/>
        <w:numPr>
          <w:ilvl w:val="0"/>
          <w:numId w:val="2"/>
        </w:numPr>
        <w:spacing w:after="60"/>
      </w:pPr>
      <w:r>
        <w:rPr>
          <w:rFonts w:ascii="Arial" w:cs="Arial" w:eastAsia="Arial" w:hAnsi="Arial"/>
          <w:color w:val="334155"/>
          <w:sz w:val="20"/>
          <w:szCs w:val="20"/>
        </w:rPr>
        <w:t xml:space="preserve">6.4 BACS confirmation notification sent to claimant</w:t>
      </w:r>
    </w:p>
    <w:p>
      <w:pPr>
        <w:pStyle w:val="ListParagraph"/>
        <w:numPr>
          <w:ilvl w:val="0"/>
          <w:numId w:val="2"/>
        </w:numPr>
        <w:spacing w:after="60"/>
      </w:pPr>
      <w:r>
        <w:rPr>
          <w:rFonts w:ascii="Arial" w:cs="Arial" w:eastAsia="Arial" w:hAnsi="Arial"/>
          <w:color w:val="334155"/>
          <w:sz w:val="20"/>
          <w:szCs w:val="20"/>
        </w:rPr>
        <w:t xml:space="preserve">6.5 If third party at fault → spawn Recovery/Subrogation child case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660"/>
        <w:gridCol w:w="800"/>
      </w:tblGrid>
      <w:tr>
        <w:tc>
          <w:tcPr>
            <w:tcW w:type="dxa" w:w="900"/>
            <w:tcBorders>
              <w:top w:val="none" w:color="FFFFFF" w:sz="0"/>
              <w:left w:val="none" w:color="FFFFFF" w:sz="0"/>
              <w:bottom w:val="none" w:color="FFFFFF" w:sz="0"/>
              <w:right w:val="none" w:color="FFFFFF" w:sz="0"/>
            </w:tcBorders>
            <w:shd w:fill="0D7A6B" w:val="clear"/>
            <w:tcMar>
              <w:top w:type="dxa" w:w="120"/>
              <w:left w:type="dxa" w:w="160"/>
              <w:bottom w:type="dxa" w:w="120"/>
              <w:right w:type="dxa" w:w="80"/>
            </w:tcMar>
            <w:vAlign w:val="center"/>
          </w:tcPr>
          <w:p>
            <w:pPr>
              <w:jc w:val="center"/>
            </w:pPr>
            <w:r>
              <w:rPr>
                <w:rFonts w:ascii="Arial" w:cs="Arial" w:eastAsia="Arial" w:hAnsi="Arial"/>
                <w:b/>
                <w:bCs/>
                <w:color w:val="FFFFFF"/>
                <w:sz w:val="26"/>
                <w:szCs w:val="26"/>
              </w:rPr>
              <w:t xml:space="preserve">Stage 7</w:t>
            </w:r>
          </w:p>
        </w:tc>
        <w:tc>
          <w:tcPr>
            <w:tcW w:type="dxa" w:w="7660"/>
            <w:tcBorders>
              <w:top w:val="none" w:color="FFFFFF" w:sz="0"/>
              <w:left w:val="none" w:color="FFFFFF" w:sz="0"/>
              <w:bottom w:val="none" w:color="FFFFFF" w:sz="0"/>
              <w:right w:val="none" w:color="FFFFFF" w:sz="0"/>
            </w:tcBorders>
            <w:shd w:fill="1B2A4A" w:val="clear"/>
            <w:tcMar>
              <w:top w:type="dxa" w:w="120"/>
              <w:left w:type="dxa" w:w="160"/>
              <w:bottom w:type="dxa" w:w="120"/>
              <w:right w:type="dxa" w:w="80"/>
            </w:tcMar>
            <w:vAlign w:val="center"/>
          </w:tcPr>
          <w:p>
            <w:r>
              <w:rPr>
                <w:rFonts w:ascii="Arial" w:cs="Arial" w:eastAsia="Arial" w:hAnsi="Arial"/>
                <w:b/>
                <w:bCs/>
                <w:color w:val="FFFFFF"/>
                <w:sz w:val="26"/>
                <w:szCs w:val="26"/>
              </w:rPr>
              <w:t xml:space="preserve">Closure &amp; NCD Update</w:t>
            </w:r>
          </w:p>
        </w:tc>
        <w:tc>
          <w:tcPr>
            <w:tcW w:type="dxa" w:w="800"/>
            <w:tcBorders>
              <w:top w:val="none" w:color="FFFFFF" w:sz="0"/>
              <w:left w:val="none" w:color="FFFFFF" w:sz="0"/>
              <w:bottom w:val="none" w:color="FFFFFF" w:sz="0"/>
              <w:right w:val="none" w:color="FFFFFF" w:sz="0"/>
            </w:tcBorders>
            <w:shd w:fill="0D7A6B" w:val="clear"/>
            <w:tcMar>
              <w:top w:type="dxa" w:w="120"/>
              <w:left w:type="dxa" w:w="80"/>
              <w:bottom w:type="dxa" w:w="120"/>
              <w:right w:type="dxa" w:w="120"/>
            </w:tcMar>
            <w:vAlign w:val="center"/>
          </w:tcPr>
          <w:p>
            <w:pPr>
              <w:jc w:val="center"/>
            </w:pPr>
            <w:r>
              <w:rPr>
                <w:rFonts w:ascii="Arial" w:cs="Arial" w:eastAsia="Arial" w:hAnsi="Arial"/>
                <w:b/>
                <w:bCs/>
                <w:color w:val="FFFFFF"/>
                <w:sz w:val="18"/>
                <w:szCs w:val="18"/>
              </w:rPr>
              <w:t xml:space="preserve">Auto on child resolution</w:t>
            </w:r>
          </w:p>
        </w:tc>
      </w:tr>
    </w:tbl>
    <w:p>
      <w:pPr>
        <w:spacing w:after="80"/>
      </w:pPr>
      <w:r>
        <w:t xml:space="preserve"/>
      </w:r>
    </w:p>
    <w:p>
      <w:pPr>
        <w:pStyle w:val="Heading3"/>
      </w:pPr>
      <w:r>
        <w:rPr>
          <w:rFonts w:ascii="Arial" w:cs="Arial" w:eastAsia="Arial" w:hAnsi="Arial"/>
          <w:b/>
          <w:bCs/>
          <w:color w:val="334155"/>
          <w:sz w:val="22"/>
          <w:szCs w:val="22"/>
        </w:rPr>
        <w:t xml:space="preserve">Steps</w:t>
      </w:r>
    </w:p>
    <w:p>
      <w:pPr>
        <w:pStyle w:val="ListParagraph"/>
        <w:numPr>
          <w:ilvl w:val="0"/>
          <w:numId w:val="2"/>
        </w:numPr>
        <w:spacing w:after="60"/>
      </w:pPr>
      <w:r>
        <w:rPr>
          <w:rFonts w:ascii="Arial" w:cs="Arial" w:eastAsia="Arial" w:hAnsi="Arial"/>
          <w:color w:val="334155"/>
          <w:sz w:val="20"/>
          <w:szCs w:val="20"/>
        </w:rPr>
        <w:t xml:space="preserve">7.1 Pre-condition: all open child cases must be resolved before Stage 7 completes</w:t>
      </w:r>
    </w:p>
    <w:p>
      <w:pPr>
        <w:pStyle w:val="ListParagraph"/>
        <w:numPr>
          <w:ilvl w:val="0"/>
          <w:numId w:val="2"/>
        </w:numPr>
        <w:spacing w:after="60"/>
      </w:pPr>
      <w:r>
        <w:rPr>
          <w:rFonts w:ascii="Arial" w:cs="Arial" w:eastAsia="Arial" w:hAnsi="Arial"/>
          <w:color w:val="334155"/>
          <w:sz w:val="20"/>
          <w:szCs w:val="20"/>
        </w:rPr>
        <w:t xml:space="preserve">7.2 No-claims discount recalculation applied to policy</w:t>
      </w:r>
    </w:p>
    <w:p>
      <w:pPr>
        <w:pStyle w:val="ListParagraph"/>
        <w:numPr>
          <w:ilvl w:val="0"/>
          <w:numId w:val="2"/>
        </w:numPr>
        <w:spacing w:after="60"/>
      </w:pPr>
      <w:r>
        <w:rPr>
          <w:rFonts w:ascii="Arial" w:cs="Arial" w:eastAsia="Arial" w:hAnsi="Arial"/>
          <w:color w:val="334155"/>
          <w:sz w:val="20"/>
          <w:szCs w:val="20"/>
        </w:rPr>
        <w:t xml:space="preserve">7.3 Salvage action initiated if applicable</w:t>
      </w:r>
    </w:p>
    <w:p>
      <w:pPr>
        <w:pStyle w:val="ListParagraph"/>
        <w:numPr>
          <w:ilvl w:val="0"/>
          <w:numId w:val="2"/>
        </w:numPr>
        <w:spacing w:after="60"/>
      </w:pPr>
      <w:r>
        <w:rPr>
          <w:rFonts w:ascii="Arial" w:cs="Arial" w:eastAsia="Arial" w:hAnsi="Arial"/>
          <w:color w:val="334155"/>
          <w:sz w:val="20"/>
          <w:szCs w:val="20"/>
        </w:rPr>
        <w:t xml:space="preserve">7.4 MI reporting data captured</w:t>
      </w:r>
    </w:p>
    <w:p>
      <w:pPr>
        <w:pStyle w:val="ListParagraph"/>
        <w:numPr>
          <w:ilvl w:val="0"/>
          <w:numId w:val="2"/>
        </w:numPr>
        <w:spacing w:after="60"/>
      </w:pPr>
      <w:r>
        <w:rPr>
          <w:rFonts w:ascii="Arial" w:cs="Arial" w:eastAsia="Arial" w:hAnsi="Arial"/>
          <w:color w:val="334155"/>
          <w:sz w:val="20"/>
          <w:szCs w:val="20"/>
        </w:rPr>
        <w:t xml:space="preserve">7.5 Case archived per data retention policy</w:t>
      </w:r>
    </w:p>
    <w:p>
      <w:pPr>
        <w:spacing w:after="80"/>
      </w:pPr>
      <w:r>
        <w:t xml:space="preserve"/>
      </w:r>
    </w:p>
    <w:p>
      <w:pPr>
        <w:pStyle w:val="Heading1"/>
        <w:pageBreakBefore/>
      </w:pPr>
      <w:r>
        <w:rPr>
          <w:rFonts w:ascii="Arial" w:cs="Arial" w:eastAsia="Arial" w:hAnsi="Arial"/>
          <w:b/>
          <w:bCs/>
          <w:color w:val="1B2A4A"/>
          <w:sz w:val="32"/>
          <w:szCs w:val="32"/>
        </w:rPr>
        <w:t xml:space="preserve">4. AI Use Cases — Detail</w:t>
      </w:r>
    </w:p>
    <w:p>
      <w:pPr>
        <w:spacing w:after="100"/>
      </w:pPr>
      <w:r>
        <w:rPr>
          <w:rFonts w:ascii="Arial" w:cs="Arial" w:eastAsia="Arial" w:hAnsi="Arial"/>
          <w:b w:val="false"/>
          <w:bCs w:val="false"/>
          <w:color w:val="334155"/>
          <w:sz w:val="22"/>
          <w:szCs w:val="22"/>
        </w:rPr>
        <w:t xml:space="preserve">Four targeted AI capabilities are embedded in the workflow. All operate within Pega's GenAI framework using the GenAI Connect rule to interface with an external LLM provider (Azure OpenAI or Anthropic Claude). Each AI touchpoint is followed by a mandatory human review step.</w:t>
      </w:r>
    </w:p>
    <w:p>
      <w:pPr>
        <w:spacing w:after="80"/>
      </w:pPr>
      <w:r>
        <w:t xml:space="preserve"/>
      </w:r>
    </w:p>
    <w:p>
      <w:pPr>
        <w:pStyle w:val="Heading2"/>
      </w:pPr>
      <w:r>
        <w:rPr>
          <w:rFonts w:ascii="Arial" w:cs="Arial" w:eastAsia="Arial" w:hAnsi="Arial"/>
          <w:b/>
          <w:bCs/>
          <w:color w:val="0D7A6B"/>
          <w:sz w:val="26"/>
          <w:szCs w:val="26"/>
        </w:rPr>
        <w:t xml:space="preserve">4.1 Email Reading &amp; Summarisation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 — Intake (email channel only)</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Trigger</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Email received at TRIclaims@relaltd.com</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Pega Rule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Agent rule — fires on email case creation event</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LLM Task</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Extract: claimant name, policy number, date of loss, loss type, items affected, incident summary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Output Page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ProposedFields — not written to case until handler confirms</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Human Step</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FA: ReviewEmailExtract — handler confirms or corrects each proposed field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Audit</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AIAudit entry: use case = EMAIL_EXTRACT, model, input ref, output, handler decision</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Data Privacy</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No military-sensitive fields sent to LLM; email body only</w:t>
            </w:r>
          </w:p>
        </w:tc>
      </w:tr>
    </w:tbl>
    <w:p>
      <w:pPr>
        <w:spacing w:after="80"/>
      </w:pPr>
      <w:r>
        <w:t xml:space="preserve"/>
      </w:r>
    </w:p>
    <w:p>
      <w:pPr>
        <w:pStyle w:val="Heading2"/>
      </w:pPr>
      <w:r>
        <w:rPr>
          <w:rFonts w:ascii="Arial" w:cs="Arial" w:eastAsia="Arial" w:hAnsi="Arial"/>
          <w:b/>
          <w:bCs/>
          <w:color w:val="0D7A6B"/>
          <w:sz w:val="26"/>
          <w:szCs w:val="26"/>
        </w:rPr>
        <w:t xml:space="preserve">4.2 Policy Coverage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2 — Triage &amp; Coverage</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Trigger</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2 initiated on any channel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Pega Rule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Agent rule — fires on Stage 2 entry</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LLM Task</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Read policy document sections + claim details; determine: Covered / Partial / Excluded; cite relevant clause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Output Page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CoverageAssessment: Recommendation (enum), Justification (text), RelevantClause (string)</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Human Step</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Handler reviews AI recommendation panel; clicks Accept or Override (reason mandatory)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Audit</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AIAudit entry: use case = COVERAGE_EVAL, recommendation, handler decision, override reason if applicable</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Data Privacy</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Policy document text and claim summary only — unit/deployment details stripped before prompt</w:t>
            </w:r>
          </w:p>
        </w:tc>
      </w:tr>
    </w:tbl>
    <w:p>
      <w:pPr>
        <w:spacing w:after="80"/>
      </w:pPr>
      <w:r>
        <w:t xml:space="preserve"/>
      </w:r>
    </w:p>
    <w:p>
      <w:pPr>
        <w:pStyle w:val="Heading2"/>
      </w:pPr>
      <w:r>
        <w:rPr>
          <w:rFonts w:ascii="Arial" w:cs="Arial" w:eastAsia="Arial" w:hAnsi="Arial"/>
          <w:b/>
          <w:bCs/>
          <w:color w:val="0D7A6B"/>
          <w:sz w:val="26"/>
          <w:szCs w:val="26"/>
        </w:rPr>
        <w:t xml:space="preserve">4.3 Image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3 — Investigation (damage claims with photos only)</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Trigger</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Claimant uploads damage photographs; fires on photo attachment event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Pega Rule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Agent rule — vision model call via GenAI Connect</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LLM Task</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Analyse each photo: identify item, describe damage, rate severity (superficial/moderate/severe), flag inconsistencies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Output Page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DamageAssessment embedded page per photo: ItemIdentified, DamageDescription, Severity, InconsistencyFlag</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Human Step</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Handler reviews findings alongside photos; confirms or requests additional evidence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Audit</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AIAudit entry: use case = IMAGE_ANALYSIS, photo ref, output summary, handler decision</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Data Privacy</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Photos only sent to vision model — no case metadata, claimant details, or location data included</w:t>
            </w:r>
          </w:p>
        </w:tc>
      </w:tr>
    </w:tbl>
    <w:p>
      <w:pPr>
        <w:spacing w:after="80"/>
      </w:pPr>
      <w:r>
        <w:t xml:space="preserve"/>
      </w:r>
    </w:p>
    <w:p>
      <w:pPr>
        <w:pStyle w:val="Heading2"/>
      </w:pPr>
      <w:r>
        <w:rPr>
          <w:rFonts w:ascii="Arial" w:cs="Arial" w:eastAsia="Arial" w:hAnsi="Arial"/>
          <w:b/>
          <w:bCs/>
          <w:color w:val="0D7A6B"/>
          <w:sz w:val="26"/>
          <w:szCs w:val="26"/>
        </w:rPr>
        <w:t xml:space="preserve">4.4 Fraud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3 — Investigation (after evidence collection)</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Trigger</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Evidence completeness check passed; fires before Stage 4 advance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Pega Rule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Agent rule — fraud scoring via GenAI Connect or Pega Decision Management</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LLM Task</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Score risk level based on: claim frequency on policy, incident narrative coherence, item values vs declared cover, policy inception date vs claim date, known fraud indicator patterns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Output</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FraudScore (Low/Medium/High), ContributingFactors (list), FraudNarrative (text)</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Human Step</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Handler reviews score and factors; decides: proceed / enhanced review / spawn SIU child case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Child Case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High score → TRI-FraudSIU child case created; parent case paused pending SIU outcome</w:t>
            </w:r>
          </w:p>
        </w:tc>
      </w:tr>
      <w:tr>
        <w:tc>
          <w:tcPr>
            <w:tcW w:type="dxa" w:w="2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Audit</w:t>
            </w:r>
          </w:p>
        </w:tc>
        <w:tc>
          <w:tcPr>
            <w:tcW w:type="dxa" w:w="69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AIAudit entry: use case = FRAUD_SCORE, score, factors, handler decision, child case ref if spawned</w:t>
            </w:r>
          </w:p>
        </w:tc>
      </w:tr>
    </w:tbl>
    <w:p>
      <w:pPr>
        <w:spacing w:after="80"/>
      </w:pPr>
      <w:r>
        <w:t xml:space="preserve"/>
      </w:r>
    </w:p>
    <w:p>
      <w:pPr>
        <w:pStyle w:val="Heading1"/>
        <w:pageBreakBefore/>
      </w:pPr>
      <w:r>
        <w:rPr>
          <w:rFonts w:ascii="Arial" w:cs="Arial" w:eastAsia="Arial" w:hAnsi="Arial"/>
          <w:b/>
          <w:bCs/>
          <w:color w:val="1B2A4A"/>
          <w:sz w:val="32"/>
          <w:szCs w:val="32"/>
        </w:rPr>
        <w:t xml:space="preserve">5. Data Structure</w:t>
      </w:r>
    </w:p>
    <w:p>
      <w:pPr>
        <w:spacing w:after="100"/>
      </w:pPr>
      <w:r>
        <w:rPr>
          <w:rFonts w:ascii="Arial" w:cs="Arial" w:eastAsia="Arial" w:hAnsi="Arial"/>
          <w:b w:val="false"/>
          <w:bCs w:val="false"/>
          <w:color w:val="334155"/>
          <w:sz w:val="22"/>
          <w:szCs w:val="22"/>
        </w:rPr>
        <w:t xml:space="preserve">The TRI-MasterClaim case type carries six primary data pages. Two (ItemList and AIAudit) are embedded page lists — one record per item and one record per AI invocation respectively.</w:t>
      </w:r>
    </w:p>
    <w:p>
      <w:pPr>
        <w:spacing w:after="80"/>
      </w:pPr>
      <w:r>
        <w:t xml:space="preserve"/>
      </w:r>
    </w:p>
    <w:p>
      <w:pPr>
        <w:pStyle w:val="Heading2"/>
      </w:pPr>
      <w:r>
        <w:rPr>
          <w:rFonts w:ascii="Arial" w:cs="Arial" w:eastAsia="Arial" w:hAnsi="Arial"/>
          <w:b/>
          <w:bCs/>
          <w:color w:val="0D7A6B"/>
          <w:sz w:val="26"/>
          <w:szCs w:val="26"/>
        </w:rPr>
        <w:t xml:space="preserve">5.1 ClaimantData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0"/>
        <w:gridCol w:w="156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3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Populated At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ClaimantID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Unique claimant identifier</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FullName</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Claimant full name</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ServiceBranch</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Army / Navy / Marines / RAF / MOD Civilian</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Rank</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Military rank</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Unit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 (masked)</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Unit — masked before any LLM call</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ContactEmail</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Primary email address</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ContactPhone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Contact phone number</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PreferredContact</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Email / Phone / Portal</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BACSDetails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Embedded</w:t>
            </w:r>
          </w:p>
        </w:tc>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Account and sort code for payment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bl>
    <w:p>
      <w:pPr>
        <w:spacing w:after="80"/>
      </w:pPr>
      <w:r>
        <w:t xml:space="preserve"/>
      </w:r>
    </w:p>
    <w:p>
      <w:pPr>
        <w:pStyle w:val="Heading2"/>
      </w:pPr>
      <w:r>
        <w:rPr>
          <w:rFonts w:ascii="Arial" w:cs="Arial" w:eastAsia="Arial" w:hAnsi="Arial"/>
          <w:b/>
          <w:bCs/>
          <w:color w:val="0D7A6B"/>
          <w:sz w:val="26"/>
          <w:szCs w:val="26"/>
        </w:rPr>
        <w:t xml:space="preserve">5.2 PolicyData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15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3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Populated At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PolicyNumber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Trinity policy reference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PolicyStatus</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Active / Lapsed / Cancelled</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CoverType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Kit / Kit+Possessions / Kit+Contents+LTO</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InceptionDate</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Date</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Policy start date</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ExpiryDate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Date</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Policy expiry date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KitSumInsured</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Currency</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Maximum kit cover amount</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PossessionsSumInsured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Currency</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Personal possessions cover limit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LTOCoverLimit</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Currency</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Licence to occupy limit (default £20,000)</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ExcessSchedule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Embedded</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Standard £50, mobile £75, transit £250</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NoClaims Discount</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Percentage</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Current NCD level at time of claim</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 auto</w:t>
            </w:r>
          </w:p>
        </w:tc>
      </w:tr>
    </w:tbl>
    <w:p>
      <w:pPr>
        <w:spacing w:after="80"/>
      </w:pPr>
      <w:r>
        <w:t xml:space="preserve"/>
      </w:r>
    </w:p>
    <w:p>
      <w:pPr>
        <w:pStyle w:val="Heading2"/>
      </w:pPr>
      <w:r>
        <w:rPr>
          <w:rFonts w:ascii="Arial" w:cs="Arial" w:eastAsia="Arial" w:hAnsi="Arial"/>
          <w:b/>
          <w:bCs/>
          <w:color w:val="0D7A6B"/>
          <w:sz w:val="26"/>
          <w:szCs w:val="26"/>
        </w:rPr>
        <w:t xml:space="preserve">5.3 IncidentData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15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3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Populated At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DateOfLoss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Date</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Date the loss occurred</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LocationType</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UK Barracks / SFA / SLA / Overseas Posting / Deployment / Transit</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LocationCountry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Country if overseas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LossType</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Theft / Accidental Damage / Fire / Transit / Other</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IsOnDeployment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Boolean</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Whether claimant was on active deployment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PoliceRefNumber</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Crime reference number (theft claims)</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 / Stage 3</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IncidentNarrative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Long Text</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Claimant description of incident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DeploymentUnit</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String (masked)</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Operational unit — masked before LLM</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MODFormRef</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MOD Form 1 reference if issued kit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3</w:t>
            </w:r>
          </w:p>
        </w:tc>
      </w:tr>
    </w:tbl>
    <w:p>
      <w:pPr>
        <w:spacing w:after="80"/>
      </w:pPr>
      <w:r>
        <w:t xml:space="preserve"/>
      </w:r>
    </w:p>
    <w:p>
      <w:pPr>
        <w:pStyle w:val="Heading2"/>
      </w:pPr>
      <w:r>
        <w:rPr>
          <w:rFonts w:ascii="Arial" w:cs="Arial" w:eastAsia="Arial" w:hAnsi="Arial"/>
          <w:b/>
          <w:bCs/>
          <w:color w:val="0D7A6B"/>
          <w:sz w:val="26"/>
          <w:szCs w:val="26"/>
        </w:rPr>
        <w:t xml:space="preserve">5.4 ItemList (Embedded Page List — one entry per claimed item)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15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3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Populated At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ItemID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Auto-generated item reference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Description</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Item description</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Category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Issued Kit / Personal Kit / Personal Possessions / Contents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IsSpecifiedItem</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Boolean</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Named on policy schedule</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ApproxValue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Currency</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Claimant's stated value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DamageDescription</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Text</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Handler or AI-populated damage notes</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3</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AISeverityRating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Superficial / Moderate / Severe (from image AI)</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3</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DepreciationRate</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Percentage</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Applied depreciation per schedule</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4</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AssessedValue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Currency</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Agreed value post-assessment</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4</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RepairOrReplace</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Repair / Replace / MOD Supply Chain</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4</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ChildCaseRef</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Item Assessment child case ref if spawned</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4</w:t>
            </w:r>
          </w:p>
        </w:tc>
      </w:tr>
    </w:tbl>
    <w:p>
      <w:pPr>
        <w:spacing w:after="80"/>
      </w:pPr>
      <w:r>
        <w:t xml:space="preserve"/>
      </w:r>
    </w:p>
    <w:p>
      <w:pPr>
        <w:pStyle w:val="Heading2"/>
      </w:pPr>
      <w:r>
        <w:rPr>
          <w:rFonts w:ascii="Arial" w:cs="Arial" w:eastAsia="Arial" w:hAnsi="Arial"/>
          <w:b/>
          <w:bCs/>
          <w:color w:val="0D7A6B"/>
          <w:sz w:val="26"/>
          <w:szCs w:val="26"/>
        </w:rPr>
        <w:t xml:space="preserve">5.5 CoverageAssessment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15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3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Populated At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AIRecommendation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Covered / Partial / Excluded</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2 AI</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AIJustification</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Long Text</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Plain-English rationale from LLM</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2 AI</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RelevantClause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Policy clause cited by LLM</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2 AI</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HandlerDecision</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Accept / Override</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2 human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OverrideReason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Text</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Mandatory if handler overrides AI</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2 human</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CoverageOutcome</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Final: Covered / Partial / Excluded</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2 human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ExcessApplied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Currency</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Excess amount deducted</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2</w:t>
            </w:r>
          </w:p>
        </w:tc>
      </w:tr>
    </w:tbl>
    <w:p>
      <w:pPr>
        <w:spacing w:after="80"/>
      </w:pPr>
      <w:r>
        <w:t xml:space="preserve"/>
      </w:r>
    </w:p>
    <w:p>
      <w:pPr>
        <w:pStyle w:val="Heading2"/>
      </w:pPr>
      <w:r>
        <w:rPr>
          <w:rFonts w:ascii="Arial" w:cs="Arial" w:eastAsia="Arial" w:hAnsi="Arial"/>
          <w:b/>
          <w:bCs/>
          <w:color w:val="0D7A6B"/>
          <w:sz w:val="26"/>
          <w:szCs w:val="26"/>
        </w:rPr>
        <w:t xml:space="preserve">5.6 AIAudit (Embedded Page List — one entry per AI 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AIUseCase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EMAIL_EXTRACT / COVERAGE_EVAL / IMAGE_ANALYSIS / FRAUD_SCORE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Timestamp</w:t>
            </w:r>
          </w:p>
        </w:tc>
        <w:tc>
          <w:tcPr>
            <w:tcW w:type="dxa" w:w="1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DateTime</w:t>
            </w:r>
          </w:p>
        </w:tc>
        <w:tc>
          <w:tcPr>
            <w:tcW w:type="dxa" w:w="57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When the AI was called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ModelVersion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LLM model and version used</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InputPromptRef</w:t>
            </w:r>
          </w:p>
        </w:tc>
        <w:tc>
          <w:tcPr>
            <w:tcW w:type="dxa" w:w="1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57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Reference to prompt template version used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AIRawOutput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Long Text</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Full LLM response stored verbatim</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AIProposedValue</w:t>
            </w:r>
          </w:p>
        </w:tc>
        <w:tc>
          <w:tcPr>
            <w:tcW w:type="dxa" w:w="1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Variant</w:t>
            </w:r>
          </w:p>
        </w:tc>
        <w:tc>
          <w:tcPr>
            <w:tcW w:type="dxa" w:w="57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Structured value(s) extracted from output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HandlerDecision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Accept / Override / Escalate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OverrideReason</w:t>
            </w:r>
          </w:p>
        </w:tc>
        <w:tc>
          <w:tcPr>
            <w:tcW w:type="dxa" w:w="1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Text</w:t>
            </w:r>
          </w:p>
        </w:tc>
        <w:tc>
          <w:tcPr>
            <w:tcW w:type="dxa" w:w="57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Handler's reason if overriding AI output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HandlerID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Pega operator ID of reviewing handler</w:t>
            </w:r>
          </w:p>
        </w:tc>
      </w:tr>
    </w:tbl>
    <w:p>
      <w:pPr>
        <w:spacing w:after="80"/>
      </w:pPr>
      <w:r>
        <w:t xml:space="preserve"/>
      </w:r>
    </w:p>
    <w:p>
      <w:pPr>
        <w:pStyle w:val="Heading2"/>
      </w:pPr>
      <w:r>
        <w:rPr>
          <w:rFonts w:ascii="Arial" w:cs="Arial" w:eastAsia="Arial" w:hAnsi="Arial"/>
          <w:b/>
          <w:bCs/>
          <w:color w:val="0D7A6B"/>
          <w:sz w:val="26"/>
          <w:szCs w:val="26"/>
        </w:rPr>
        <w:t xml:space="preserve">5.7 CaseMetadata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15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3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Populated At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CaseID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Pega case reference (TRI-xxxx)</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CreatedChannel</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WebForm / Email / Phone</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Priority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Standard / Urgent / SIU</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AssignedQueue</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Current work queue name</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 / routing</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SLAStartTime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DateTime</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FNOL timestamp — 30-day clock starts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AcknowledgementSent</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Boolean</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FCA 24-hr acknowledgement</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1 auto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CurrentStage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String</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name for MI reporting</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Each stage</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FraudScore</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Enum</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Low / Medium / High / Pending</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3 AI</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TotalClaimValue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Currency</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Sum of all item assessed values</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4</w:t>
            </w:r>
          </w:p>
        </w:tc>
      </w:tr>
      <w:tr>
        <w:tc>
          <w:tcPr>
            <w:tcW w:type="dxa" w:w="2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SettlementAmount</w:t>
            </w:r>
          </w:p>
        </w:tc>
        <w:tc>
          <w:tcPr>
            <w:tcW w:type="dxa" w:w="1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Currency</w:t>
            </w:r>
          </w:p>
        </w:tc>
        <w:tc>
          <w:tcPr>
            <w:tcW w:type="dxa" w:w="34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Final agreed payment amount</w:t>
            </w:r>
          </w:p>
        </w:tc>
        <w:tc>
          <w:tcPr>
            <w:tcW w:type="dxa" w:w="1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5</w:t>
            </w:r>
          </w:p>
        </w:tc>
      </w:tr>
    </w:tbl>
    <w:p>
      <w:pPr>
        <w:spacing w:after="80"/>
      </w:pPr>
      <w:r>
        <w:t xml:space="preserve"/>
      </w:r>
    </w:p>
    <w:p>
      <w:pPr>
        <w:pStyle w:val="Heading1"/>
        <w:pageBreakBefore/>
      </w:pPr>
      <w:r>
        <w:rPr>
          <w:rFonts w:ascii="Arial" w:cs="Arial" w:eastAsia="Arial" w:hAnsi="Arial"/>
          <w:b/>
          <w:bCs/>
          <w:color w:val="1B2A4A"/>
          <w:sz w:val="32"/>
          <w:szCs w:val="32"/>
        </w:rPr>
        <w:t xml:space="preserve">6. Child Case Types</w:t>
      </w:r>
    </w:p>
    <w:p>
      <w:pPr>
        <w:spacing w:after="100"/>
      </w:pPr>
      <w:r>
        <w:rPr>
          <w:rFonts w:ascii="Arial" w:cs="Arial" w:eastAsia="Arial" w:hAnsi="Arial"/>
          <w:b w:val="false"/>
          <w:bCs w:val="false"/>
          <w:color w:val="334155"/>
          <w:sz w:val="22"/>
          <w:szCs w:val="22"/>
        </w:rPr>
        <w:t xml:space="preserve">Up to four child case types can be spawned from the TRI-MasterClaim parent. Each inherits ClaimantData and PolicyData from the parent via Pega data propagation. The parent Stage 7 entry gate checks that all child cases are resolved before allowing closure.</w:t>
      </w:r>
    </w:p>
    <w:p>
      <w:pPr>
        <w:spacing w:after="80"/>
      </w:pPr>
      <w:r>
        <w:t xml:space="preserve"/>
      </w:r>
    </w:p>
    <w:p>
      <w:pPr>
        <w:pStyle w:val="Heading2"/>
      </w:pPr>
      <w:r>
        <w:rPr>
          <w:rFonts w:ascii="Arial" w:cs="Arial" w:eastAsia="Arial" w:hAnsi="Arial"/>
          <w:b/>
          <w:bCs/>
          <w:color w:val="0D7A6B"/>
          <w:sz w:val="26"/>
          <w:szCs w:val="26"/>
        </w:rPr>
        <w:t xml:space="preserve">6.1 TRI-FraudSIU</w:t>
      </w:r>
    </w:p>
    <w:p>
      <w:pPr>
        <w:pStyle w:val="ListParagraph"/>
        <w:numPr>
          <w:ilvl w:val="0"/>
          <w:numId w:val="2"/>
        </w:numPr>
        <w:spacing w:after="60"/>
      </w:pPr>
      <w:r>
        <w:rPr>
          <w:rFonts w:ascii="Arial" w:cs="Arial" w:eastAsia="Arial" w:hAnsi="Arial"/>
          <w:color w:val="334155"/>
          <w:sz w:val="20"/>
          <w:szCs w:val="20"/>
        </w:rPr>
        <w:t xml:space="preserve">Trigger: Fraud score = High in Stage 3</w:t>
      </w:r>
    </w:p>
    <w:p>
      <w:pPr>
        <w:pStyle w:val="ListParagraph"/>
        <w:numPr>
          <w:ilvl w:val="0"/>
          <w:numId w:val="2"/>
        </w:numPr>
        <w:spacing w:after="60"/>
      </w:pPr>
      <w:r>
        <w:rPr>
          <w:rFonts w:ascii="Arial" w:cs="Arial" w:eastAsia="Arial" w:hAnsi="Arial"/>
          <w:color w:val="334155"/>
          <w:sz w:val="20"/>
          <w:szCs w:val="20"/>
        </w:rPr>
        <w:t xml:space="preserve">Spawned from: Step 3.6</w:t>
      </w:r>
    </w:p>
    <w:p>
      <w:pPr>
        <w:pStyle w:val="ListParagraph"/>
        <w:numPr>
          <w:ilvl w:val="0"/>
          <w:numId w:val="2"/>
        </w:numPr>
        <w:spacing w:after="60"/>
      </w:pPr>
      <w:r>
        <w:rPr>
          <w:rFonts w:ascii="Arial" w:cs="Arial" w:eastAsia="Arial" w:hAnsi="Arial"/>
          <w:color w:val="334155"/>
          <w:sz w:val="20"/>
          <w:szCs w:val="20"/>
        </w:rPr>
        <w:t xml:space="preserve">Owner queue: SIU specialist team</w:t>
      </w:r>
    </w:p>
    <w:p>
      <w:pPr>
        <w:pStyle w:val="ListParagraph"/>
        <w:numPr>
          <w:ilvl w:val="0"/>
          <w:numId w:val="2"/>
        </w:numPr>
        <w:spacing w:after="60"/>
      </w:pPr>
      <w:r>
        <w:rPr>
          <w:rFonts w:ascii="Arial" w:cs="Arial" w:eastAsia="Arial" w:hAnsi="Arial"/>
          <w:color w:val="334155"/>
          <w:sz w:val="20"/>
          <w:szCs w:val="20"/>
        </w:rPr>
        <w:t xml:space="preserve">Key steps: Anomaly pattern review · Enhanced evidence request · Interview if required · SIU outcome decision</w:t>
      </w:r>
    </w:p>
    <w:p>
      <w:pPr>
        <w:pStyle w:val="ListParagraph"/>
        <w:numPr>
          <w:ilvl w:val="0"/>
          <w:numId w:val="2"/>
        </w:numPr>
        <w:spacing w:after="60"/>
      </w:pPr>
      <w:r>
        <w:rPr>
          <w:rFonts w:ascii="Arial" w:cs="Arial" w:eastAsia="Arial" w:hAnsi="Arial"/>
          <w:color w:val="334155"/>
          <w:sz w:val="20"/>
          <w:szCs w:val="20"/>
        </w:rPr>
        <w:t xml:space="preserve">Parent case status: Paused at Stage 3 pending SIU outcome</w:t>
      </w:r>
    </w:p>
    <w:p>
      <w:pPr>
        <w:pStyle w:val="ListParagraph"/>
        <w:numPr>
          <w:ilvl w:val="0"/>
          <w:numId w:val="2"/>
        </w:numPr>
        <w:spacing w:after="60"/>
      </w:pPr>
      <w:r>
        <w:rPr>
          <w:rFonts w:ascii="Arial" w:cs="Arial" w:eastAsia="Arial" w:hAnsi="Arial"/>
          <w:color w:val="334155"/>
          <w:sz w:val="20"/>
          <w:szCs w:val="20"/>
        </w:rPr>
        <w:t xml:space="preserve">Resolution outcomes: Proceed with claim / Refer to insurer / Repudiate</w:t>
      </w:r>
    </w:p>
    <w:p>
      <w:pPr>
        <w:spacing w:after="80"/>
      </w:pPr>
      <w:r>
        <w:t xml:space="preserve"/>
      </w:r>
    </w:p>
    <w:p>
      <w:pPr>
        <w:pStyle w:val="Heading2"/>
      </w:pPr>
      <w:r>
        <w:rPr>
          <w:rFonts w:ascii="Arial" w:cs="Arial" w:eastAsia="Arial" w:hAnsi="Arial"/>
          <w:b/>
          <w:bCs/>
          <w:color w:val="0D7A6B"/>
          <w:sz w:val="26"/>
          <w:szCs w:val="26"/>
        </w:rPr>
        <w:t xml:space="preserve">6.2 TRI-ItemAssessment</w:t>
      </w:r>
    </w:p>
    <w:p>
      <w:pPr>
        <w:pStyle w:val="ListParagraph"/>
        <w:numPr>
          <w:ilvl w:val="0"/>
          <w:numId w:val="2"/>
        </w:numPr>
        <w:spacing w:after="60"/>
      </w:pPr>
      <w:r>
        <w:rPr>
          <w:rFonts w:ascii="Arial" w:cs="Arial" w:eastAsia="Arial" w:hAnsi="Arial"/>
          <w:color w:val="334155"/>
          <w:sz w:val="20"/>
          <w:szCs w:val="20"/>
        </w:rPr>
        <w:t xml:space="preserve">Trigger: High-value or specialist item identified in Stage 4 (configurable threshold)</w:t>
      </w:r>
    </w:p>
    <w:p>
      <w:pPr>
        <w:pStyle w:val="ListParagraph"/>
        <w:numPr>
          <w:ilvl w:val="0"/>
          <w:numId w:val="2"/>
        </w:numPr>
        <w:spacing w:after="60"/>
      </w:pPr>
      <w:r>
        <w:rPr>
          <w:rFonts w:ascii="Arial" w:cs="Arial" w:eastAsia="Arial" w:hAnsi="Arial"/>
          <w:color w:val="334155"/>
          <w:sz w:val="20"/>
          <w:szCs w:val="20"/>
        </w:rPr>
        <w:t xml:space="preserve">Spawned from: Step 4.4 (one child per qualifying item)</w:t>
      </w:r>
    </w:p>
    <w:p>
      <w:pPr>
        <w:pStyle w:val="ListParagraph"/>
        <w:numPr>
          <w:ilvl w:val="0"/>
          <w:numId w:val="2"/>
        </w:numPr>
        <w:spacing w:after="60"/>
      </w:pPr>
      <w:r>
        <w:rPr>
          <w:rFonts w:ascii="Arial" w:cs="Arial" w:eastAsia="Arial" w:hAnsi="Arial"/>
          <w:color w:val="334155"/>
          <w:sz w:val="20"/>
          <w:szCs w:val="20"/>
        </w:rPr>
        <w:t xml:space="preserve">Owner queue: Specialist assessor team</w:t>
      </w:r>
    </w:p>
    <w:p>
      <w:pPr>
        <w:pStyle w:val="ListParagraph"/>
        <w:numPr>
          <w:ilvl w:val="0"/>
          <w:numId w:val="2"/>
        </w:numPr>
        <w:spacing w:after="60"/>
      </w:pPr>
      <w:r>
        <w:rPr>
          <w:rFonts w:ascii="Arial" w:cs="Arial" w:eastAsia="Arial" w:hAnsi="Arial"/>
          <w:color w:val="334155"/>
          <w:sz w:val="20"/>
          <w:szCs w:val="20"/>
        </w:rPr>
        <w:t xml:space="preserve">Key steps: Third-party assessor assignment · Inspection (physical or photographic) · Repair quote · Assessed value agreed</w:t>
      </w:r>
    </w:p>
    <w:p>
      <w:pPr>
        <w:pStyle w:val="ListParagraph"/>
        <w:numPr>
          <w:ilvl w:val="0"/>
          <w:numId w:val="2"/>
        </w:numPr>
        <w:spacing w:after="60"/>
      </w:pPr>
      <w:r>
        <w:rPr>
          <w:rFonts w:ascii="Arial" w:cs="Arial" w:eastAsia="Arial" w:hAnsi="Arial"/>
          <w:color w:val="334155"/>
          <w:sz w:val="20"/>
          <w:szCs w:val="20"/>
        </w:rPr>
        <w:t xml:space="preserve">Key data: AssessorID, InspectionDate, RepairQuote, ReplacementCost, AssessedValue, Recommendation</w:t>
      </w:r>
    </w:p>
    <w:p>
      <w:pPr>
        <w:pStyle w:val="ListParagraph"/>
        <w:numPr>
          <w:ilvl w:val="0"/>
          <w:numId w:val="2"/>
        </w:numPr>
        <w:spacing w:after="60"/>
      </w:pPr>
      <w:r>
        <w:rPr>
          <w:rFonts w:ascii="Arial" w:cs="Arial" w:eastAsia="Arial" w:hAnsi="Arial"/>
          <w:color w:val="334155"/>
          <w:sz w:val="20"/>
          <w:szCs w:val="20"/>
        </w:rPr>
        <w:t xml:space="preserve">Resolves back to: Parent ItemList.AssessedValue for that item</w:t>
      </w:r>
    </w:p>
    <w:p>
      <w:pPr>
        <w:spacing w:after="80"/>
      </w:pPr>
      <w:r>
        <w:t xml:space="preserve"/>
      </w:r>
    </w:p>
    <w:p>
      <w:pPr>
        <w:pStyle w:val="Heading2"/>
      </w:pPr>
      <w:r>
        <w:rPr>
          <w:rFonts w:ascii="Arial" w:cs="Arial" w:eastAsia="Arial" w:hAnsi="Arial"/>
          <w:b/>
          <w:bCs/>
          <w:color w:val="0D7A6B"/>
          <w:sz w:val="26"/>
          <w:szCs w:val="26"/>
        </w:rPr>
        <w:t xml:space="preserve">6.3 TRI-Dispute</w:t>
      </w:r>
    </w:p>
    <w:p>
      <w:pPr>
        <w:pStyle w:val="ListParagraph"/>
        <w:numPr>
          <w:ilvl w:val="0"/>
          <w:numId w:val="2"/>
        </w:numPr>
        <w:spacing w:after="60"/>
      </w:pPr>
      <w:r>
        <w:rPr>
          <w:rFonts w:ascii="Arial" w:cs="Arial" w:eastAsia="Arial" w:hAnsi="Arial"/>
          <w:color w:val="334155"/>
          <w:sz w:val="20"/>
          <w:szCs w:val="20"/>
        </w:rPr>
        <w:t xml:space="preserve">Trigger: Claimant disputes Stage 5 settlement offer</w:t>
      </w:r>
    </w:p>
    <w:p>
      <w:pPr>
        <w:pStyle w:val="ListParagraph"/>
        <w:numPr>
          <w:ilvl w:val="0"/>
          <w:numId w:val="2"/>
        </w:numPr>
        <w:spacing w:after="60"/>
      </w:pPr>
      <w:r>
        <w:rPr>
          <w:rFonts w:ascii="Arial" w:cs="Arial" w:eastAsia="Arial" w:hAnsi="Arial"/>
          <w:color w:val="334155"/>
          <w:sz w:val="20"/>
          <w:szCs w:val="20"/>
        </w:rPr>
        <w:t xml:space="preserve">Spawned from: Step 5.5</w:t>
      </w:r>
    </w:p>
    <w:p>
      <w:pPr>
        <w:pStyle w:val="ListParagraph"/>
        <w:numPr>
          <w:ilvl w:val="0"/>
          <w:numId w:val="2"/>
        </w:numPr>
        <w:spacing w:after="60"/>
      </w:pPr>
      <w:r>
        <w:rPr>
          <w:rFonts w:ascii="Arial" w:cs="Arial" w:eastAsia="Arial" w:hAnsi="Arial"/>
          <w:color w:val="334155"/>
          <w:sz w:val="20"/>
          <w:szCs w:val="20"/>
        </w:rPr>
        <w:t xml:space="preserve">Owner queue: Senior handler / complaints team</w:t>
      </w:r>
    </w:p>
    <w:p>
      <w:pPr>
        <w:pStyle w:val="ListParagraph"/>
        <w:numPr>
          <w:ilvl w:val="0"/>
          <w:numId w:val="2"/>
        </w:numPr>
        <w:spacing w:after="60"/>
      </w:pPr>
      <w:r>
        <w:rPr>
          <w:rFonts w:ascii="Arial" w:cs="Arial" w:eastAsia="Arial" w:hAnsi="Arial"/>
          <w:color w:val="334155"/>
          <w:sz w:val="20"/>
          <w:szCs w:val="20"/>
        </w:rPr>
        <w:t xml:space="preserve">Key steps: Dispute reason captured · Senior review · FOS referral if unresolved within 8 weeks</w:t>
      </w:r>
    </w:p>
    <w:p>
      <w:pPr>
        <w:pStyle w:val="ListParagraph"/>
        <w:numPr>
          <w:ilvl w:val="0"/>
          <w:numId w:val="2"/>
        </w:numPr>
        <w:spacing w:after="60"/>
      </w:pPr>
      <w:r>
        <w:rPr>
          <w:rFonts w:ascii="Arial" w:cs="Arial" w:eastAsia="Arial" w:hAnsi="Arial"/>
          <w:color w:val="334155"/>
          <w:sz w:val="20"/>
          <w:szCs w:val="20"/>
        </w:rPr>
        <w:t xml:space="preserve">Legal expenses cover: up to £75,000 per Trinity policy terms</w:t>
      </w:r>
    </w:p>
    <w:p>
      <w:pPr>
        <w:pStyle w:val="ListParagraph"/>
        <w:numPr>
          <w:ilvl w:val="0"/>
          <w:numId w:val="2"/>
        </w:numPr>
        <w:spacing w:after="60"/>
      </w:pPr>
      <w:r>
        <w:rPr>
          <w:rFonts w:ascii="Arial" w:cs="Arial" w:eastAsia="Arial" w:hAnsi="Arial"/>
          <w:color w:val="334155"/>
          <w:sz w:val="20"/>
          <w:szCs w:val="20"/>
        </w:rPr>
        <w:t xml:space="preserve">Key data: DisputeReason, DisputeDate, FOSReference, LegalCost, ResolutionOutcome</w:t>
      </w:r>
    </w:p>
    <w:p>
      <w:pPr>
        <w:spacing w:after="80"/>
      </w:pPr>
      <w:r>
        <w:t xml:space="preserve"/>
      </w:r>
    </w:p>
    <w:p>
      <w:pPr>
        <w:pStyle w:val="Heading2"/>
      </w:pPr>
      <w:r>
        <w:rPr>
          <w:rFonts w:ascii="Arial" w:cs="Arial" w:eastAsia="Arial" w:hAnsi="Arial"/>
          <w:b/>
          <w:bCs/>
          <w:color w:val="0D7A6B"/>
          <w:sz w:val="26"/>
          <w:szCs w:val="26"/>
        </w:rPr>
        <w:t xml:space="preserve">6.4 TRI-Recovery</w:t>
      </w:r>
    </w:p>
    <w:p>
      <w:pPr>
        <w:pStyle w:val="ListParagraph"/>
        <w:numPr>
          <w:ilvl w:val="0"/>
          <w:numId w:val="2"/>
        </w:numPr>
        <w:spacing w:after="60"/>
      </w:pPr>
      <w:r>
        <w:rPr>
          <w:rFonts w:ascii="Arial" w:cs="Arial" w:eastAsia="Arial" w:hAnsi="Arial"/>
          <w:color w:val="334155"/>
          <w:sz w:val="20"/>
          <w:szCs w:val="20"/>
        </w:rPr>
        <w:t xml:space="preserve">Trigger: Third party identified as at fault at Stage 6</w:t>
      </w:r>
    </w:p>
    <w:p>
      <w:pPr>
        <w:pStyle w:val="ListParagraph"/>
        <w:numPr>
          <w:ilvl w:val="0"/>
          <w:numId w:val="2"/>
        </w:numPr>
        <w:spacing w:after="60"/>
      </w:pPr>
      <w:r>
        <w:rPr>
          <w:rFonts w:ascii="Arial" w:cs="Arial" w:eastAsia="Arial" w:hAnsi="Arial"/>
          <w:color w:val="334155"/>
          <w:sz w:val="20"/>
          <w:szCs w:val="20"/>
        </w:rPr>
        <w:t xml:space="preserve">Spawned from: Step 6.5</w:t>
      </w:r>
    </w:p>
    <w:p>
      <w:pPr>
        <w:pStyle w:val="ListParagraph"/>
        <w:numPr>
          <w:ilvl w:val="0"/>
          <w:numId w:val="2"/>
        </w:numPr>
        <w:spacing w:after="60"/>
      </w:pPr>
      <w:r>
        <w:rPr>
          <w:rFonts w:ascii="Arial" w:cs="Arial" w:eastAsia="Arial" w:hAnsi="Arial"/>
          <w:color w:val="334155"/>
          <w:sz w:val="20"/>
          <w:szCs w:val="20"/>
        </w:rPr>
        <w:t xml:space="preserve">Owner queue: Recoveries team</w:t>
      </w:r>
    </w:p>
    <w:p>
      <w:pPr>
        <w:pStyle w:val="ListParagraph"/>
        <w:numPr>
          <w:ilvl w:val="0"/>
          <w:numId w:val="2"/>
        </w:numPr>
        <w:spacing w:after="60"/>
      </w:pPr>
      <w:r>
        <w:rPr>
          <w:rFonts w:ascii="Arial" w:cs="Arial" w:eastAsia="Arial" w:hAnsi="Arial"/>
          <w:color w:val="334155"/>
          <w:sz w:val="20"/>
          <w:szCs w:val="20"/>
        </w:rPr>
        <w:t xml:space="preserve">Key steps: Third party identification · MOD liaison if military asset involved · Recovery action initiated · Recovered amount reconciled against claim payment</w:t>
      </w:r>
    </w:p>
    <w:p>
      <w:pPr>
        <w:pStyle w:val="ListParagraph"/>
        <w:numPr>
          <w:ilvl w:val="0"/>
          <w:numId w:val="2"/>
        </w:numPr>
        <w:spacing w:after="60"/>
      </w:pPr>
      <w:r>
        <w:rPr>
          <w:rFonts w:ascii="Arial" w:cs="Arial" w:eastAsia="Arial" w:hAnsi="Arial"/>
          <w:color w:val="334155"/>
          <w:sz w:val="20"/>
          <w:szCs w:val="20"/>
        </w:rPr>
        <w:t xml:space="preserve">Key data: ThirdPartyDetails, FaultBasis, RecoveryAmount, MODRefNo, RecoveryStatus, SettledDate</w:t>
      </w:r>
    </w:p>
    <w:p>
      <w:pPr>
        <w:spacing w:after="80"/>
      </w:pPr>
      <w:r>
        <w:t xml:space="preserve"/>
      </w:r>
    </w:p>
    <w:p>
      <w:pPr>
        <w:pStyle w:val="Heading1"/>
        <w:pageBreakBefore/>
      </w:pPr>
      <w:r>
        <w:rPr>
          <w:rFonts w:ascii="Arial" w:cs="Arial" w:eastAsia="Arial" w:hAnsi="Arial"/>
          <w:b/>
          <w:bCs/>
          <w:color w:val="1B2A4A"/>
          <w:sz w:val="32"/>
          <w:szCs w:val="32"/>
        </w:rPr>
        <w:t xml:space="preserve">7. Pega Implementation Notes</w:t>
      </w:r>
    </w:p>
    <w:p>
      <w:pPr>
        <w:spacing w:after="80"/>
      </w:pPr>
      <w:r>
        <w:t xml:space="preserve"/>
      </w:r>
    </w:p>
    <w:p>
      <w:pPr>
        <w:pStyle w:val="Heading2"/>
      </w:pPr>
      <w:r>
        <w:rPr>
          <w:rFonts w:ascii="Arial" w:cs="Arial" w:eastAsia="Arial" w:hAnsi="Arial"/>
          <w:b/>
          <w:bCs/>
          <w:color w:val="0D7A6B"/>
          <w:sz w:val="26"/>
          <w:szCs w:val="26"/>
        </w:rPr>
        <w:t xml:space="preserve">7.1 Rule Types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Pega Rule Type</w:t>
            </w:r>
          </w:p>
        </w:tc>
        <w:tc>
          <w:tcPr>
            <w:tcW w:type="dxa" w:w="4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Purpose</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Stage(s)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Case Type — TRI-MasterClaim</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Parent case type with 7 stages</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All</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Case Type — TRI-FraudSIU / TRI-ItemAssessment / TRI-Dispute / TRI-Recovery</w:t>
            </w:r>
          </w:p>
        </w:tc>
        <w:tc>
          <w:tcPr>
            <w:tcW w:type="dxa" w:w="4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Child case types</w:t>
            </w:r>
          </w:p>
        </w:tc>
        <w:tc>
          <w:tcPr>
            <w:tcW w:type="dxa" w:w="2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As triggered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Flow Action (FA)</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Handler assignment screens: ReviewEmailExtract, CaptureIncident, ClassifyAndRoute, ReviewCoverage, ReviewImageAnalysis, ReviewFraudScore, etc.</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All stages</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GenAI Connect Rule</w:t>
            </w:r>
          </w:p>
        </w:tc>
        <w:tc>
          <w:tcPr>
            <w:tcW w:type="dxa" w:w="4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LLM provider config: auth, model, prompt templates</w:t>
            </w:r>
          </w:p>
        </w:tc>
        <w:tc>
          <w:tcPr>
            <w:tcW w:type="dxa" w:w="2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Stages 1, 2, 3</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Agent Rule (4 instances)</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Email extraction, coverage eval, image analysis, fraud scoring</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Stages 1, 2, 3</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Correspondence Rule</w:t>
            </w:r>
          </w:p>
        </w:tc>
        <w:tc>
          <w:tcPr>
            <w:tcW w:type="dxa" w:w="4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FNOL acknowledgement, chase letters, offer letter, BACS notification</w:t>
            </w:r>
          </w:p>
        </w:tc>
        <w:tc>
          <w:tcPr>
            <w:tcW w:type="dxa" w:w="2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Stages 1, 5, 6</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Data Page (D_PolicyData)</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Policy system lookup on policy number</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SLA Rule</w:t>
            </w:r>
          </w:p>
        </w:tc>
        <w:tc>
          <w:tcPr>
            <w:tcW w:type="dxa" w:w="4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Goal (alert) + Deadline timers at parent and child level</w:t>
            </w:r>
          </w:p>
        </w:tc>
        <w:tc>
          <w:tcPr>
            <w:tcW w:type="dxa" w:w="2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All</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When Rule / Validate Rule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Field-level validations and stage entry pre-conditions</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All</w:t>
            </w:r>
          </w:p>
        </w:tc>
      </w:tr>
      <w:tr>
        <w:tc>
          <w:tcPr>
            <w:tcW w:type="dxa" w:w="28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Work Queue Rules</w:t>
            </w:r>
          </w:p>
        </w:tc>
        <w:tc>
          <w:tcPr>
            <w:tcW w:type="dxa" w:w="42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Standard, High-Value, LTO, SIU queues with skill-based routing</w:t>
            </w:r>
          </w:p>
        </w:tc>
        <w:tc>
          <w:tcPr>
            <w:tcW w:type="dxa" w:w="2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All</w:t>
            </w:r>
          </w:p>
        </w:tc>
      </w:tr>
    </w:tbl>
    <w:p>
      <w:pPr>
        <w:spacing w:after="80"/>
      </w:pPr>
      <w:r>
        <w:t xml:space="preserve"/>
      </w:r>
    </w:p>
    <w:p>
      <w:pPr>
        <w:pStyle w:val="Heading2"/>
      </w:pPr>
      <w:r>
        <w:rPr>
          <w:rFonts w:ascii="Arial" w:cs="Arial" w:eastAsia="Arial" w:hAnsi="Arial"/>
          <w:b/>
          <w:bCs/>
          <w:color w:val="0D7A6B"/>
          <w:sz w:val="26"/>
          <w:szCs w:val="26"/>
        </w:rPr>
        <w:t xml:space="preserve">7.2 SLA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Stage / Child Case</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Goal</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Deadline</w:t>
            </w:r>
          </w:p>
        </w:tc>
        <w:tc>
          <w:tcPr>
            <w:tcW w:type="dxa" w:w="3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Escalation on Goal Breach</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1 — Intake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24 hours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48 hours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Team lead alert</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2 — Coverage</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48 hours</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72 hours</w:t>
            </w:r>
          </w:p>
        </w:tc>
        <w:tc>
          <w:tcPr>
            <w:tcW w:type="dxa" w:w="3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Team lead alert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3 — Investigation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5 working days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7 working days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Manager alert</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4 — Assessment</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10 working days</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14 working days</w:t>
            </w:r>
          </w:p>
        </w:tc>
        <w:tc>
          <w:tcPr>
            <w:tcW w:type="dxa" w:w="3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Manager alert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Stage 5 — Decision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3 working days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5 working days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Manager alert</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Stage 6 — Settlement</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3 working days</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5 working days</w:t>
            </w:r>
          </w:p>
        </w:tc>
        <w:tc>
          <w:tcPr>
            <w:tcW w:type="dxa" w:w="3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Manager alert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Overall claim (30-day target)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25 days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30 days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Director alert</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TRI-FraudSIU child</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10 working days</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15 working days</w:t>
            </w:r>
          </w:p>
        </w:tc>
        <w:tc>
          <w:tcPr>
            <w:tcW w:type="dxa" w:w="3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SIU manager alert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TRI-ItemAssessment child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5 working days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8 working days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Assessments manager</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TRI-Dispute child (FCA 8-week)</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6 weeks</w:t>
            </w:r>
          </w:p>
        </w:tc>
        <w:tc>
          <w:tcPr>
            <w:tcW w:type="dxa" w:w="16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8 weeks</w:t>
            </w:r>
          </w:p>
        </w:tc>
        <w:tc>
          <w:tcPr>
            <w:tcW w:type="dxa" w:w="35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Compliance officer alert</w:t>
            </w:r>
          </w:p>
        </w:tc>
      </w:tr>
    </w:tbl>
    <w:p>
      <w:pPr>
        <w:spacing w:after="80"/>
      </w:pPr>
      <w:r>
        <w:t xml:space="preserve"/>
      </w:r>
    </w:p>
    <w:p>
      <w:pPr>
        <w:pStyle w:val="Heading2"/>
      </w:pPr>
      <w:r>
        <w:rPr>
          <w:rFonts w:ascii="Arial" w:cs="Arial" w:eastAsia="Arial" w:hAnsi="Arial"/>
          <w:b/>
          <w:bCs/>
          <w:color w:val="0D7A6B"/>
          <w:sz w:val="26"/>
          <w:szCs w:val="26"/>
        </w:rPr>
        <w:t xml:space="preserve">7.3 Key Design Decisions</w:t>
      </w:r>
    </w:p>
    <w:p>
      <w:pPr>
        <w:pStyle w:val="ListParagraph"/>
        <w:numPr>
          <w:ilvl w:val="0"/>
          <w:numId w:val="2"/>
        </w:numPr>
        <w:spacing w:after="60"/>
      </w:pPr>
      <w:r>
        <w:rPr>
          <w:rFonts w:ascii="Arial" w:cs="Arial" w:eastAsia="Arial" w:hAnsi="Arial"/>
          <w:color w:val="334155"/>
          <w:sz w:val="20"/>
          <w:szCs w:val="20"/>
        </w:rPr>
        <w:t xml:space="preserve">AI outputs are always written to a ProposedFields or dedicated AI output page — never directly to the main case fields — until a human confirms.</w:t>
      </w:r>
    </w:p>
    <w:p>
      <w:pPr>
        <w:pStyle w:val="ListParagraph"/>
        <w:numPr>
          <w:ilvl w:val="0"/>
          <w:numId w:val="2"/>
        </w:numPr>
        <w:spacing w:after="60"/>
      </w:pPr>
      <w:r>
        <w:rPr>
          <w:rFonts w:ascii="Arial" w:cs="Arial" w:eastAsia="Arial" w:hAnsi="Arial"/>
          <w:color w:val="334155"/>
          <w:sz w:val="20"/>
          <w:szCs w:val="20"/>
        </w:rPr>
        <w:t xml:space="preserve">All LLM calls include a data masking transform step that strips deployment location, unit, and operational identifiers before assembling the prompt.</w:t>
      </w:r>
    </w:p>
    <w:p>
      <w:pPr>
        <w:pStyle w:val="ListParagraph"/>
        <w:numPr>
          <w:ilvl w:val="0"/>
          <w:numId w:val="2"/>
        </w:numPr>
        <w:spacing w:after="60"/>
      </w:pPr>
      <w:r>
        <w:rPr>
          <w:rFonts w:ascii="Arial" w:cs="Arial" w:eastAsia="Arial" w:hAnsi="Arial"/>
          <w:color w:val="334155"/>
          <w:sz w:val="20"/>
          <w:szCs w:val="20"/>
        </w:rPr>
        <w:t xml:space="preserve">Stage entry pre-conditions are enforced as Pega When rules on the stage transition — handlers cannot advance without meeting data quality gates.</w:t>
      </w:r>
    </w:p>
    <w:p>
      <w:pPr>
        <w:pStyle w:val="ListParagraph"/>
        <w:numPr>
          <w:ilvl w:val="0"/>
          <w:numId w:val="2"/>
        </w:numPr>
        <w:spacing w:after="60"/>
      </w:pPr>
      <w:r>
        <w:rPr>
          <w:rFonts w:ascii="Arial" w:cs="Arial" w:eastAsia="Arial" w:hAnsi="Arial"/>
          <w:color w:val="334155"/>
          <w:sz w:val="20"/>
          <w:szCs w:val="20"/>
        </w:rPr>
        <w:t xml:space="preserve">Override of AI recommendation is mandatory-reason — the handler must type a free-text reason, which is stored on the AIAudit page.</w:t>
      </w:r>
    </w:p>
    <w:p>
      <w:pPr>
        <w:pStyle w:val="ListParagraph"/>
        <w:numPr>
          <w:ilvl w:val="0"/>
          <w:numId w:val="2"/>
        </w:numPr>
        <w:spacing w:after="60"/>
      </w:pPr>
      <w:r>
        <w:rPr>
          <w:rFonts w:ascii="Arial" w:cs="Arial" w:eastAsia="Arial" w:hAnsi="Arial"/>
          <w:color w:val="334155"/>
          <w:sz w:val="20"/>
          <w:szCs w:val="20"/>
        </w:rPr>
        <w:t xml:space="preserve">Claims above a configurable value threshold (recommended: £500) require a second-level manager approval before Stage 5 offer is sent.</w:t>
      </w:r>
    </w:p>
    <w:p>
      <w:pPr>
        <w:pStyle w:val="ListParagraph"/>
        <w:numPr>
          <w:ilvl w:val="0"/>
          <w:numId w:val="2"/>
        </w:numPr>
        <w:spacing w:after="60"/>
      </w:pPr>
      <w:r>
        <w:rPr>
          <w:rFonts w:ascii="Arial" w:cs="Arial" w:eastAsia="Arial" w:hAnsi="Arial"/>
          <w:color w:val="334155"/>
          <w:sz w:val="20"/>
          <w:szCs w:val="20"/>
        </w:rPr>
        <w:t xml:space="preserve">The AIAudit embedded page list provides a full chronological log of every AI invocation on the case — essential for FCA Consumer Duty s.12 outcome monitoring.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5B21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FCA Consumer Duty</w:t>
            </w:r>
          </w:p>
        </w:tc>
        <w:tc>
          <w:tcPr>
            <w:tcW w:type="dxa" w:w="8260"/>
            <w:tcBorders>
              <w:top w:val="none" w:color="FFFFFF" w:sz="0"/>
              <w:left w:val="none" w:color="FFFFFF" w:sz="0"/>
              <w:bottom w:val="none" w:color="FFFFFF" w:sz="0"/>
              <w:right w:val="none" w:color="FFFFFF" w:sz="0"/>
            </w:tcBorders>
            <w:shd w:fill="EDE9FE" w:val="clear"/>
            <w:tcMar>
              <w:top w:type="dxa" w:w="80"/>
              <w:left w:type="dxa" w:w="160"/>
              <w:bottom w:type="dxa" w:w="80"/>
              <w:right w:type="dxa" w:w="120"/>
            </w:tcMar>
          </w:tcPr>
          <w:p>
            <w:r>
              <w:rPr>
                <w:rFonts w:ascii="Arial" w:cs="Arial" w:eastAsia="Arial" w:hAnsi="Arial"/>
                <w:color w:val="334155"/>
                <w:sz w:val="20"/>
                <w:szCs w:val="20"/>
              </w:rPr>
              <w:t xml:space="preserve">24-hr acknowledgement (Stage 1) · FOS signposting on repudiation (Stage 5) · 8-week final response deadline (TRI-Dispute child) · Full AI audit trail for outcome explainability</w:t>
            </w:r>
          </w:p>
        </w:tc>
      </w:tr>
    </w:tbl>
    <w:p>
      <w:pPr>
        <w:spacing w:after="80"/>
      </w:pPr>
      <w:r>
        <w:t xml:space="preserve"/>
      </w:r>
    </w:p>
    <w:p>
      <w:pPr>
        <w:pStyle w:val="Heading1"/>
        <w:pageBreakBefore/>
      </w:pPr>
      <w:r>
        <w:rPr>
          <w:rFonts w:ascii="Arial" w:cs="Arial" w:eastAsia="Arial" w:hAnsi="Arial"/>
          <w:b/>
          <w:bCs/>
          <w:color w:val="1B2A4A"/>
          <w:sz w:val="32"/>
          <w:szCs w:val="32"/>
        </w:rPr>
        <w:t xml:space="preserve">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Term</w:t>
            </w:r>
          </w:p>
        </w:tc>
        <w:tc>
          <w:tcPr>
            <w:tcW w:type="dxa" w:w="7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Definition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FNOL</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First Notification of Loss — the initial claim submission event</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LTO / SLA / SFA</w:t>
            </w:r>
          </w:p>
        </w:tc>
        <w:tc>
          <w:tcPr>
            <w:tcW w:type="dxa" w:w="7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Licence to Occupy / Single Living Accommodation / Service Family Accommodation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MOD Form 1</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Ministry of Defence loss/damage report required for issued kit claims</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NCD</w:t>
            </w:r>
          </w:p>
        </w:tc>
        <w:tc>
          <w:tcPr>
            <w:tcW w:type="dxa" w:w="7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No-Claims Discount — applied to renewal premium</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FOS</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Financial Ombudsman Service — UK dispute resolution body for financial complaints</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FCA Consumer Duty</w:t>
            </w:r>
          </w:p>
        </w:tc>
        <w:tc>
          <w:tcPr>
            <w:tcW w:type="dxa" w:w="7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FCA regulatory framework requiring good outcomes for retail consumers (PS22/9)</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SIU</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Special Investigations Unit — specialist fraud investigation team</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GenAI Connect</w:t>
            </w:r>
          </w:p>
        </w:tc>
        <w:tc>
          <w:tcPr>
            <w:tcW w:type="dxa" w:w="7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Pega rule type that configures connection to an external LLM provider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Agent Rule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Pega rule that runs AI tasks autonomously on case events (background process)</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Coach Rule</w:t>
            </w:r>
          </w:p>
        </w:tc>
        <w:tc>
          <w:tcPr>
            <w:tcW w:type="dxa" w:w="7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Pega rule that surfaces AI guidance in the handler's UI screen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AIAudit page</w:t>
            </w:r>
          </w:p>
        </w:tc>
        <w:tc>
          <w:tcPr>
            <w:tcW w:type="dxa" w:w="7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r>
              <w:rPr>
                <w:rFonts w:ascii="Arial" w:cs="Arial" w:eastAsia="Arial" w:hAnsi="Arial"/>
                <w:color w:val="334155"/>
                <w:sz w:val="20"/>
                <w:szCs w:val="20"/>
              </w:rPr>
              <w:t xml:space="preserve">Embedded page list on the case recording every AI invocation and human decision</w:t>
            </w:r>
          </w:p>
        </w:tc>
      </w:tr>
      <w:tr>
        <w:tc>
          <w:tcPr>
            <w:tcW w:type="dxa" w:w="200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ProposedFields</w:t>
            </w:r>
          </w:p>
        </w:tc>
        <w:tc>
          <w:tcPr>
            <w:tcW w:type="dxa" w:w="7360"/>
            <w:tcBorders>
              <w:top w:val="single" w:color="D1D5DB" w:sz="1"/>
              <w:left w:val="single" w:color="D1D5DB" w:sz="1"/>
              <w:bottom w:val="single" w:color="D1D5DB" w:sz="1"/>
              <w:right w:val="single" w:color="D1D5DB" w:sz="1"/>
            </w:tcBorders>
            <w:shd w:fill="F8FAFC" w:val="clear"/>
            <w:tcMar>
              <w:top w:type="dxa" w:w="60"/>
              <w:left w:type="dxa" w:w="120"/>
              <w:bottom w:type="dxa" w:w="60"/>
              <w:right w:type="dxa" w:w="80"/>
            </w:tcMar>
          </w:tcPr>
          <w:p>
            <w:r>
              <w:rPr>
                <w:rFonts w:ascii="Arial" w:cs="Arial" w:eastAsia="Arial" w:hAnsi="Arial"/>
                <w:color w:val="334155"/>
                <w:sz w:val="20"/>
                <w:szCs w:val="20"/>
              </w:rPr>
              <w:t xml:space="preserve">Temporary data page holding AI-extracted values before handler confirmation</w:t>
            </w:r>
          </w:p>
        </w:tc>
      </w:tr>
    </w:tbl>
    <w:p>
      <w:pPr>
        <w:spacing w:after="80"/>
      </w:pPr>
      <w:r>
        <w:t xml:space="preserve"/>
      </w:r>
    </w:p>
    <w:p>
      <w:pPr>
        <w:spacing w:after="100"/>
      </w:pPr>
      <w:r>
        <w:rPr>
          <w:rFonts w:ascii="Arial" w:cs="Arial" w:eastAsia="Arial" w:hAnsi="Arial"/>
          <w:b w:val="false"/>
          <w:bCs w:val="false"/>
          <w:color w:val="64748B"/>
          <w:sz w:val="22"/>
          <w:szCs w:val="22"/>
        </w:rPr>
        <w:t xml:space="preserve">Document prepared based on Trinity Insurance Services claims process design. For internal Pega implementation team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Trinity Insurance Services · Trinity Military Kit Claims — Pega Workflow Design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64748B"/>
              <w:sz w:val="18"/>
              <w:szCs w:val="18"/>
            </w:rPr>
            <w:t xml:space="preserve">Trinity Military Kit Claims — Pega Workflow Design</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8"/>
              <w:szCs w:val="18"/>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A6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2026-06-11T06:38:53.267Z</dcterms:created>
  <dcterms:modified xsi:type="dcterms:W3CDTF">2026-06-11T06:38:53.267Z</dcterms:modified>
</cp:coreProperties>
</file>

<file path=docProps/custom.xml><?xml version="1.0" encoding="utf-8"?>
<Properties xmlns="http://schemas.openxmlformats.org/officeDocument/2006/custom-properties" xmlns:vt="http://schemas.openxmlformats.org/officeDocument/2006/docPropsVTypes"/>
</file>