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测试：客户投诉升级与补偿口径</w:t>
      </w:r>
    </w:p>
    <w:p>
      <w:r>
        <w:t>适用场景：客户多次反馈无人处理、对响应时效不满、要求补偿或威胁取消服务。</w:t>
      </w:r>
    </w:p>
    <w:p>
      <w:pPr>
        <w:pStyle w:val="Heading2"/>
      </w:pPr>
      <w:r>
        <w:t>处理原则</w:t>
      </w:r>
    </w:p>
    <w:p>
      <w:pPr>
        <w:pStyle w:val="ListNumber"/>
      </w:pPr>
      <w:r>
        <w:t>先承认客户体验不佳，并说明会提升处理优先级。</w:t>
      </w:r>
    </w:p>
    <w:p>
      <w:pPr>
        <w:pStyle w:val="ListNumber"/>
      </w:pPr>
      <w:r>
        <w:t>核对历史工单、首次反馈时间、已处理步骤和当前阻塞点。</w:t>
      </w:r>
    </w:p>
    <w:p>
      <w:pPr>
        <w:pStyle w:val="ListNumber"/>
      </w:pPr>
      <w:r>
        <w:t>补偿、折扣或服务延期不能由一线客服直接承诺，应转交主管或客户成功团队。</w:t>
      </w:r>
    </w:p>
    <w:p>
      <w:pPr>
        <w:pStyle w:val="ListNumber"/>
      </w:pPr>
      <w:r>
        <w:t>如果客户表示业务受到影响，应记录影响范围并升级处理。</w:t>
      </w:r>
    </w:p>
    <w:p>
      <w:pPr>
        <w:pStyle w:val="Heading2"/>
      </w:pPr>
      <w:r>
        <w:t>升级判定表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信号</w:t>
            </w:r>
          </w:p>
        </w:tc>
        <w:tc>
          <w:tcPr>
            <w:tcW w:type="dxa" w:w="2880"/>
          </w:tcPr>
          <w:p>
            <w:r>
              <w:t>风险等级</w:t>
            </w:r>
          </w:p>
        </w:tc>
        <w:tc>
          <w:tcPr>
            <w:tcW w:type="dxa" w:w="2880"/>
          </w:tcPr>
          <w:p>
            <w:r>
              <w:t>动作</w:t>
            </w:r>
          </w:p>
        </w:tc>
      </w:tr>
      <w:tr>
        <w:tc>
          <w:tcPr>
            <w:tcW w:type="dxa" w:w="2880"/>
          </w:tcPr>
          <w:p>
            <w:r>
              <w:t>第三次来信仍未解决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升级主管</w:t>
            </w:r>
          </w:p>
        </w:tc>
      </w:tr>
      <w:tr>
        <w:tc>
          <w:tcPr>
            <w:tcW w:type="dxa" w:w="2880"/>
          </w:tcPr>
          <w:p>
            <w:r>
              <w:t>要求退款或补偿</w:t>
            </w:r>
          </w:p>
        </w:tc>
        <w:tc>
          <w:tcPr>
            <w:tcW w:type="dxa" w:w="2880"/>
          </w:tcPr>
          <w:p>
            <w:r>
              <w:t>中到高</w:t>
            </w:r>
          </w:p>
        </w:tc>
        <w:tc>
          <w:tcPr>
            <w:tcW w:type="dxa" w:w="2880"/>
          </w:tcPr>
          <w:p>
            <w:r>
              <w:t>账单或主管审核</w:t>
            </w:r>
          </w:p>
        </w:tc>
      </w:tr>
      <w:tr>
        <w:tc>
          <w:tcPr>
            <w:tcW w:type="dxa" w:w="2880"/>
          </w:tcPr>
          <w:p>
            <w:r>
              <w:t>表达强烈不满或取消意向</w:t>
            </w:r>
          </w:p>
        </w:tc>
        <w:tc>
          <w:tcPr>
            <w:tcW w:type="dxa" w:w="2880"/>
          </w:tcPr>
          <w:p>
            <w:r>
              <w:t>高</w:t>
            </w:r>
          </w:p>
        </w:tc>
        <w:tc>
          <w:tcPr>
            <w:tcW w:type="dxa" w:w="2880"/>
          </w:tcPr>
          <w:p>
            <w:r>
              <w:t>主管跟进</w:t>
            </w:r>
          </w:p>
        </w:tc>
      </w:tr>
    </w:tbl>
    <w:p>
      <w:pPr>
        <w:pStyle w:val="Heading2"/>
      </w:pPr>
      <w:r>
        <w:t>推荐回复</w:t>
      </w:r>
    </w:p>
    <w:p>
      <w:r>
        <w:t>我们理解这次处理进度没有达到预期。我们会立即复核历史记录和当前阻塞点，并将该问题提升优先级。涉及补偿或账单调整的部分，需要主管进一步审核后确认。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