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azure-messaging-technical-specification"/>
    <w:p>
      <w:pPr>
        <w:pStyle w:val="Heading1"/>
      </w:pPr>
      <w:r>
        <w:t xml:space="preserve">Azure Messaging Technical Specification</w:t>
      </w:r>
    </w:p>
    <w:p>
      <w:pPr>
        <w:pStyle w:val="FirstParagraph"/>
      </w:pPr>
      <w:r>
        <w:rPr>
          <w:b/>
          <w:bCs/>
        </w:rPr>
        <w:t xml:space="preserve">Project</w:t>
      </w:r>
      <w:r>
        <w:t xml:space="preserve">: IoT Gateway – Health, Metrics, Security Warnings, Alerts &amp; Errors</w:t>
      </w:r>
    </w:p>
    <w:p>
      <w:pPr>
        <w:pStyle w:val="BodyText"/>
      </w:pPr>
      <w:r>
        <w:rPr>
          <w:b/>
          <w:bCs/>
        </w:rPr>
        <w:t xml:space="preserve">Goal</w:t>
      </w:r>
      <w:r>
        <w:t xml:space="preserve">: Send device health status, per‑service status &amp; fault reasons, metrics, and security alerts from a small IoT device to Azure</w:t>
      </w:r>
      <w:r>
        <w:t xml:space="preserve"> </w:t>
      </w:r>
      <w:r>
        <w:rPr>
          <w:b/>
          <w:bCs/>
        </w:rPr>
        <w:t xml:space="preserve">every 5 minutes and on any status change</w:t>
      </w:r>
      <w:r>
        <w:t xml:space="preserve">. Provide resilient offline buffering, duplicate safety, TTLs, and clear topic/subscriber strategy. Decide the best Azure message broker.</w:t>
      </w:r>
    </w:p>
    <w:p>
      <w:r>
        <w:pict>
          <v:rect style="width:0;height:1.5pt" o:hralign="center" o:hrstd="t" o:hr="t"/>
        </w:pict>
      </w:r>
    </w:p>
    <w:bookmarkStart w:id="20" w:name="scope-assumptions"/>
    <w:p>
      <w:pPr>
        <w:pStyle w:val="Heading2"/>
      </w:pPr>
      <w:r>
        <w:t xml:space="preserve">1. Scope &amp; Assumptions</w:t>
      </w:r>
    </w:p>
    <w:p>
      <w:pPr>
        <w:pStyle w:val="Compact"/>
        <w:numPr>
          <w:ilvl w:val="0"/>
          <w:numId w:val="1001"/>
        </w:numPr>
      </w:pPr>
      <w:r>
        <w:t xml:space="preserve">Single device class (</w:t>
      </w:r>
      <w:r>
        <w:t xml:space="preserve">“gateway”</w:t>
      </w:r>
      <w:r>
        <w:t xml:space="preserve">), many tenants possible later.</w:t>
      </w:r>
    </w:p>
    <w:p>
      <w:pPr>
        <w:pStyle w:val="Compact"/>
        <w:numPr>
          <w:ilvl w:val="0"/>
          <w:numId w:val="1001"/>
        </w:numPr>
      </w:pPr>
      <w:r>
        <w:t xml:space="preserve">Uplink only for routine data (D2C); cloud→device (C2D) reserved for commands (e.g., software update start, config refresh).</w:t>
      </w:r>
    </w:p>
    <w:p>
      <w:pPr>
        <w:pStyle w:val="Compact"/>
        <w:numPr>
          <w:ilvl w:val="0"/>
          <w:numId w:val="1001"/>
        </w:numPr>
      </w:pPr>
      <w:r>
        <w:t xml:space="preserve">Message paths must work when network is intermittent; device OS offers stable clock within ±60 s.</w:t>
      </w:r>
    </w:p>
    <w:p>
      <w:pPr>
        <w:pStyle w:val="Compact"/>
        <w:numPr>
          <w:ilvl w:val="0"/>
          <w:numId w:val="1001"/>
        </w:numPr>
      </w:pPr>
      <w:r>
        <w:t xml:space="preserve">No giant binaries on the broker; software packages live in Blob Storage (signed URL). Broker carries</w:t>
      </w:r>
      <w:r>
        <w:t xml:space="preserve"> </w:t>
      </w:r>
      <w:r>
        <w:rPr>
          <w:b/>
          <w:bCs/>
        </w:rPr>
        <w:t xml:space="preserve">control</w:t>
      </w:r>
      <w:r>
        <w:t xml:space="preserve"> </w:t>
      </w:r>
      <w:r>
        <w:t xml:space="preserve">only.</w:t>
      </w:r>
    </w:p>
    <w:p>
      <w:r>
        <w:pict>
          <v:rect style="width:0;height:1.5pt" o:hralign="center" o:hrstd="t" o:hr="t"/>
        </w:pict>
      </w:r>
    </w:p>
    <w:bookmarkEnd w:id="20"/>
    <w:bookmarkStart w:id="26" w:name="message-catalog"/>
    <w:p>
      <w:pPr>
        <w:pStyle w:val="Heading2"/>
      </w:pPr>
      <w:r>
        <w:t xml:space="preserve">2. Message Catalog</w:t>
      </w:r>
    </w:p>
    <w:bookmarkStart w:id="21" w:name="health-d2c"/>
    <w:p>
      <w:pPr>
        <w:pStyle w:val="Heading3"/>
      </w:pPr>
      <w:r>
        <w:t xml:space="preserve">2.1 Health (D2C)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When</w:t>
      </w:r>
      <w:r>
        <w:t xml:space="preserve">: every</w:t>
      </w:r>
      <w:r>
        <w:t xml:space="preserve"> </w:t>
      </w:r>
      <w:r>
        <w:rPr>
          <w:b/>
          <w:bCs/>
        </w:rPr>
        <w:t xml:space="preserve">5 min</w:t>
      </w:r>
      <w:r>
        <w:t xml:space="preserve"> </w:t>
      </w:r>
      <w:r>
        <w:t xml:space="preserve">and on change (online/partial/offline).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Size</w:t>
      </w:r>
      <w:r>
        <w:t xml:space="preserve">: 1–5 KB.</w:t>
      </w:r>
      <w:r>
        <w:t xml:space="preserve"> </w:t>
      </w:r>
      <w:r>
        <w:rPr>
          <w:b/>
          <w:bCs/>
        </w:rPr>
        <w:t xml:space="preserve">Semantics</w:t>
      </w:r>
      <w:r>
        <w:t xml:space="preserve">: latest-wins.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Ordering</w:t>
      </w:r>
      <w:r>
        <w:t xml:space="preserve">: per device helpful.</w:t>
      </w:r>
      <w:r>
        <w:t xml:space="preserve"> </w:t>
      </w:r>
      <w:r>
        <w:rPr>
          <w:b/>
          <w:bCs/>
        </w:rPr>
        <w:t xml:space="preserve">Criticality</w:t>
      </w:r>
      <w:r>
        <w:t xml:space="preserve">: high, must reach.</w:t>
      </w:r>
    </w:p>
    <w:bookmarkEnd w:id="21"/>
    <w:bookmarkStart w:id="22" w:name="metrics-d2c"/>
    <w:p>
      <w:pPr>
        <w:pStyle w:val="Heading3"/>
      </w:pPr>
      <w:r>
        <w:t xml:space="preserve">2.2 Metrics (D2C)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When</w:t>
      </w:r>
      <w:r>
        <w:t xml:space="preserve">: every 5 min (batch) and on change if threshold exceeded.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Size</w:t>
      </w:r>
      <w:r>
        <w:t xml:space="preserve">: 0.5–50 KB per batch (compressible JSON);</w:t>
      </w:r>
      <w:r>
        <w:t xml:space="preserve"> </w:t>
      </w:r>
      <w:r>
        <w:rPr>
          <w:b/>
          <w:bCs/>
        </w:rPr>
        <w:t xml:space="preserve">Throughput</w:t>
      </w:r>
      <w:r>
        <w:t xml:space="preserve">: low/medium for a small device footprint.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Ordering</w:t>
      </w:r>
      <w:r>
        <w:t xml:space="preserve">: per device preferred but not strictly required.</w:t>
      </w:r>
    </w:p>
    <w:bookmarkEnd w:id="22"/>
    <w:bookmarkStart w:id="23" w:name="service-status-fault-reason-d2c"/>
    <w:p>
      <w:pPr>
        <w:pStyle w:val="Heading3"/>
      </w:pPr>
      <w:r>
        <w:t xml:space="preserve">2.3 Service Status + Fault Reason (D2C)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When</w:t>
      </w:r>
      <w:r>
        <w:t xml:space="preserve">: included in health payload, plus separate</w:t>
      </w:r>
      <w:r>
        <w:t xml:space="preserve"> </w:t>
      </w:r>
      <w:r>
        <w:rPr>
          <w:b/>
          <w:bCs/>
        </w:rPr>
        <w:t xml:space="preserve">event on change</w:t>
      </w:r>
      <w:r>
        <w:t xml:space="preserve"> </w:t>
      </w:r>
      <w:r>
        <w:t xml:space="preserve">(serv1/serv2…)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Payload</w:t>
      </w:r>
      <w:r>
        <w:t xml:space="preserve">: service name, protocol statuses (HTTP/Broker/GGG/HHH as applicable), fault code/message.</w:t>
      </w:r>
    </w:p>
    <w:bookmarkEnd w:id="23"/>
    <w:bookmarkStart w:id="24" w:name="security-warnings-alerts-errors-d2c"/>
    <w:p>
      <w:pPr>
        <w:pStyle w:val="Heading3"/>
      </w:pPr>
      <w:r>
        <w:t xml:space="preserve">2.4 Security Warnings / Alerts / Errors (D2C)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When</w:t>
      </w:r>
      <w:r>
        <w:t xml:space="preserve">: on detection (CVE, tamper, policy drift, auth failures).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Priority</w:t>
      </w:r>
      <w:r>
        <w:t xml:space="preserve">: highest; never dropped if buffer not full (preempt metrics if necessary).</w:t>
      </w:r>
    </w:p>
    <w:bookmarkEnd w:id="24"/>
    <w:bookmarkStart w:id="25" w:name="software-update-signals-c2dd2c"/>
    <w:p>
      <w:pPr>
        <w:pStyle w:val="Heading3"/>
      </w:pPr>
      <w:r>
        <w:t xml:space="preserve">2.5 Software Update Signals (C2D/D2C)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C2D</w:t>
      </w:r>
      <w:r>
        <w:t xml:space="preserve">: notify gateway of update (version, signed URL, SHA‑256, rollout window).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D2C</w:t>
      </w:r>
      <w:r>
        <w:t xml:space="preserve">: ack + progress + result (idempotent, small payloads).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brokers-considered"/>
    <w:p>
      <w:pPr>
        <w:pStyle w:val="Heading2"/>
      </w:pPr>
      <w:r>
        <w:t xml:space="preserve">3. Brokers Considered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  <w:r>
              <w:t xml:space="preserve">Azure</w:t>
            </w:r>
            <w:r>
              <w:t xml:space="preserve"> </w:t>
            </w:r>
            <w:r>
              <w:rPr>
                <w:b/>
                <w:bCs/>
              </w:rPr>
              <w:t xml:space="preserve">Service Bus</w:t>
            </w:r>
          </w:p>
        </w:tc>
        <w:tc>
          <w:tcPr/>
          <w:p>
            <w:pPr>
              <w:pStyle w:val="Compact"/>
            </w:pPr>
            <w:r>
              <w:t xml:space="preserve">Azure</w:t>
            </w:r>
            <w:r>
              <w:t xml:space="preserve"> </w:t>
            </w:r>
            <w:r>
              <w:rPr>
                <w:b/>
                <w:bCs/>
              </w:rPr>
              <w:t xml:space="preserve">Event Hubs</w:t>
            </w:r>
          </w:p>
        </w:tc>
        <w:tc>
          <w:tcPr/>
          <w:p>
            <w:pPr>
              <w:pStyle w:val="Compact"/>
            </w:pPr>
            <w:r>
              <w:t xml:space="preserve">Azure</w:t>
            </w:r>
            <w:r>
              <w:t xml:space="preserve"> </w:t>
            </w:r>
            <w:r>
              <w:rPr>
                <w:b/>
                <w:bCs/>
              </w:rPr>
              <w:t xml:space="preserve">Event Grid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Protocol</w:t>
            </w:r>
          </w:p>
        </w:tc>
        <w:tc>
          <w:tcPr/>
          <w:p>
            <w:pPr>
              <w:pStyle w:val="Compact"/>
            </w:pPr>
            <w:r>
              <w:t xml:space="preserve">AMQP 1.0, HTTPS</w:t>
            </w:r>
          </w:p>
        </w:tc>
        <w:tc>
          <w:tcPr/>
          <w:p>
            <w:pPr>
              <w:pStyle w:val="Compact"/>
            </w:pPr>
            <w:r>
              <w:t xml:space="preserve">AMQP 1.0 (Kafka API), HTTPS SDK</w:t>
            </w:r>
          </w:p>
        </w:tc>
        <w:tc>
          <w:tcPr/>
          <w:p>
            <w:pPr>
              <w:pStyle w:val="Compact"/>
            </w:pPr>
            <w:r>
              <w:t xml:space="preserve">HTTPS/Webhooks (CloudEvents)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Delivery</w:t>
            </w:r>
          </w:p>
        </w:tc>
        <w:tc>
          <w:tcPr/>
          <w:p>
            <w:pPr>
              <w:pStyle w:val="Compact"/>
            </w:pPr>
            <w:r>
              <w:t xml:space="preserve">Queues &amp;</w:t>
            </w:r>
            <w:r>
              <w:t xml:space="preserve"> </w:t>
            </w:r>
            <w:r>
              <w:rPr>
                <w:b/>
                <w:bCs/>
              </w:rPr>
              <w:t xml:space="preserve">Topics</w:t>
            </w:r>
            <w:r>
              <w:t xml:space="preserve">, at‑least‑once,</w:t>
            </w:r>
            <w:r>
              <w:t xml:space="preserve"> </w:t>
            </w:r>
            <w:r>
              <w:rPr>
                <w:b/>
                <w:bCs/>
              </w:rPr>
              <w:t xml:space="preserve">DLQ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deferral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sessions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transactions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scheduled</w:t>
            </w:r>
            <w:r>
              <w:t xml:space="preserve"> </w:t>
            </w:r>
            <w:r>
              <w:t xml:space="preserve">messages</w:t>
            </w:r>
          </w:p>
        </w:tc>
        <w:tc>
          <w:tcPr/>
          <w:p>
            <w:pPr>
              <w:pStyle w:val="Compact"/>
            </w:pPr>
            <w:r>
              <w:t xml:space="preserve">Append-only partitions; at‑least-once via consumer checkpoints; very high throughput</w:t>
            </w:r>
          </w:p>
        </w:tc>
        <w:tc>
          <w:tcPr/>
          <w:p>
            <w:pPr>
              <w:pStyle w:val="Compact"/>
            </w:pPr>
            <w:r>
              <w:t xml:space="preserve">Push to endpoints with retries; simple filtering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Per‑device ordering</w:t>
            </w:r>
          </w:p>
        </w:tc>
        <w:tc>
          <w:tcPr/>
          <w:p>
            <w:pPr>
              <w:pStyle w:val="Compact"/>
            </w:pPr>
            <w:r>
              <w:t xml:space="preserve">✔ via</w:t>
            </w:r>
            <w:r>
              <w:t xml:space="preserve"> </w:t>
            </w:r>
            <w:r>
              <w:rPr>
                <w:b/>
                <w:bCs/>
              </w:rPr>
              <w:t xml:space="preserve">Sessions</w:t>
            </w:r>
            <w:r>
              <w:t xml:space="preserve"> </w:t>
            </w:r>
            <w:r>
              <w:t xml:space="preserve">or PartitionKey</w:t>
            </w:r>
          </w:p>
        </w:tc>
        <w:tc>
          <w:tcPr/>
          <w:p>
            <w:pPr>
              <w:pStyle w:val="Compact"/>
            </w:pPr>
            <w:r>
              <w:t xml:space="preserve">Per‑partition only</w:t>
            </w:r>
          </w:p>
        </w:tc>
        <w:tc>
          <w:tcPr/>
          <w:p>
            <w:pPr>
              <w:pStyle w:val="Compact"/>
            </w:pPr>
            <w:r>
              <w:t xml:space="preserve">✖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Rich filtering</w:t>
            </w:r>
          </w:p>
        </w:tc>
        <w:tc>
          <w:tcPr/>
          <w:p>
            <w:pPr>
              <w:pStyle w:val="Compact"/>
            </w:pPr>
            <w:r>
              <w:t xml:space="preserve">✔ SQL filters on subscriptions</w:t>
            </w:r>
          </w:p>
        </w:tc>
        <w:tc>
          <w:tcPr/>
          <w:p>
            <w:pPr>
              <w:pStyle w:val="Compact"/>
            </w:pPr>
            <w:r>
              <w:t xml:space="preserve">Consumer-side</w:t>
            </w:r>
          </w:p>
        </w:tc>
        <w:tc>
          <w:tcPr/>
          <w:p>
            <w:pPr>
              <w:pStyle w:val="Compact"/>
            </w:pPr>
            <w:r>
              <w:t xml:space="preserve">Basic attributes 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De‑duplication</w:t>
            </w:r>
          </w:p>
        </w:tc>
        <w:tc>
          <w:tcPr/>
          <w:p>
            <w:pPr>
              <w:pStyle w:val="Compact"/>
            </w:pPr>
            <w:r>
              <w:t xml:space="preserve">✔ built-in (time window)</w:t>
            </w:r>
          </w:p>
        </w:tc>
        <w:tc>
          <w:tcPr/>
          <w:p>
            <w:pPr>
              <w:pStyle w:val="Compact"/>
            </w:pPr>
            <w:r>
              <w:t xml:space="preserve">Consumer-side</w:t>
            </w:r>
          </w:p>
        </w:tc>
        <w:tc>
          <w:tcPr/>
          <w:p>
            <w:pPr>
              <w:pStyle w:val="Compact"/>
            </w:pPr>
            <w:r>
              <w:t xml:space="preserve">✖</w:t>
            </w:r>
          </w:p>
        </w:tc>
      </w:tr>
      <w:tr>
        <w:tc>
          <w:tcPr/>
          <w:p>
            <w:pPr>
              <w:pStyle w:val="Compact"/>
            </w:pPr>
            <w:r>
              <w:t xml:space="preserve">TTL / Lock management</w:t>
            </w:r>
          </w:p>
        </w:tc>
        <w:tc>
          <w:tcPr/>
          <w:p>
            <w:pPr>
              <w:pStyle w:val="Compact"/>
            </w:pPr>
            <w:r>
              <w:t xml:space="preserve">✔</w:t>
            </w:r>
          </w:p>
        </w:tc>
        <w:tc>
          <w:tcPr/>
          <w:p>
            <w:pPr>
              <w:pStyle w:val="Compact"/>
            </w:pPr>
            <w:r>
              <w:t xml:space="preserve">Basic retention per Hub</w:t>
            </w:r>
          </w:p>
        </w:tc>
        <w:tc>
          <w:tcPr/>
          <w:p>
            <w:pPr>
              <w:pStyle w:val="Compact"/>
            </w:pPr>
            <w:r>
              <w:t xml:space="preserve">Limited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Best for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Control, health, security, commands</w:t>
            </w:r>
          </w:p>
        </w:tc>
        <w:tc>
          <w:tcPr/>
          <w:p>
            <w:pPr>
              <w:pStyle w:val="Compact"/>
            </w:pPr>
            <w:r>
              <w:t xml:space="preserve">Firehose telemetry</w:t>
            </w:r>
          </w:p>
        </w:tc>
        <w:tc>
          <w:tcPr/>
          <w:p>
            <w:pPr>
              <w:pStyle w:val="Compact"/>
            </w:pPr>
            <w:r>
              <w:t xml:space="preserve">Webhook fan‑out</w:t>
            </w:r>
          </w:p>
        </w:tc>
      </w:tr>
    </w:tbl>
    <w:p>
      <w:pPr>
        <w:pStyle w:val="BodyText"/>
      </w:pPr>
      <w:r>
        <w:rPr>
          <w:b/>
          <w:bCs/>
        </w:rPr>
        <w:t xml:space="preserve">Fit</w:t>
      </w:r>
      <w:r>
        <w:t xml:space="preserve">: For a small device sending periodic + on‑change control-ish data,</w:t>
      </w:r>
      <w:r>
        <w:t xml:space="preserve"> </w:t>
      </w:r>
      <w:r>
        <w:rPr>
          <w:b/>
          <w:bCs/>
        </w:rPr>
        <w:t xml:space="preserve">Azure Service Bus Topics</w:t>
      </w:r>
      <w:r>
        <w:t xml:space="preserve"> </w:t>
      </w:r>
      <w:r>
        <w:t xml:space="preserve">are the best default. Use Event Hubs only if metrics volume becomes very high.</w:t>
      </w:r>
    </w:p>
    <w:p>
      <w:r>
        <w:pict>
          <v:rect style="width:0;height:1.5pt" o:hralign="center" o:hrstd="t" o:hr="t"/>
        </w:pict>
      </w:r>
    </w:p>
    <w:bookmarkEnd w:id="27"/>
    <w:bookmarkStart w:id="28" w:name="protocol-auth-and-security"/>
    <w:p>
      <w:pPr>
        <w:pStyle w:val="Heading2"/>
      </w:pPr>
      <w:r>
        <w:t xml:space="preserve">4. Protocol, Auth, and Security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Primary wire protocol</w:t>
      </w:r>
      <w:r>
        <w:t xml:space="preserve">:</w:t>
      </w:r>
      <w:r>
        <w:t xml:space="preserve"> </w:t>
      </w:r>
      <w:r>
        <w:rPr>
          <w:b/>
          <w:bCs/>
        </w:rPr>
        <w:t xml:space="preserve">AMQP 1.0</w:t>
      </w:r>
      <w:r>
        <w:t xml:space="preserve"> </w:t>
      </w:r>
      <w:r>
        <w:t xml:space="preserve">(efficient, bi‑directional, settlement acks).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Fallback</w:t>
      </w:r>
      <w:r>
        <w:t xml:space="preserve">: HTTPS (when AMQP unavailable). Both must be supported by client library.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Identity</w:t>
      </w:r>
      <w:r>
        <w:t xml:space="preserve">: Device X.509 cert stored in secure store (TPM/HSM if available).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Auth to broker</w:t>
      </w:r>
      <w:r>
        <w:t xml:space="preserve">: Microsoft</w:t>
      </w:r>
      <w:r>
        <w:t xml:space="preserve"> </w:t>
      </w:r>
      <w:r>
        <w:rPr>
          <w:b/>
          <w:bCs/>
        </w:rPr>
        <w:t xml:space="preserve">Entra ID</w:t>
      </w:r>
      <w:r>
        <w:t xml:space="preserve"> </w:t>
      </w:r>
      <w:r>
        <w:t xml:space="preserve">client‑credentials (cert) or short‑lived</w:t>
      </w:r>
      <w:r>
        <w:t xml:space="preserve"> </w:t>
      </w:r>
      <w:r>
        <w:rPr>
          <w:b/>
          <w:bCs/>
        </w:rPr>
        <w:t xml:space="preserve">SAS</w:t>
      </w:r>
      <w:r>
        <w:t xml:space="preserve"> </w:t>
      </w:r>
      <w:r>
        <w:t xml:space="preserve">minted by a</w:t>
      </w:r>
      <w:r>
        <w:t xml:space="preserve"> </w:t>
      </w:r>
      <w:r>
        <w:rPr>
          <w:b/>
          <w:bCs/>
        </w:rPr>
        <w:t xml:space="preserve">Custom Auth Broker (CAB)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Token lifetime</w:t>
      </w:r>
      <w:r>
        <w:t xml:space="preserve">: 15–60 min; rotate seamlessly before expiry; clock skew tolerance ±2 min.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Confidentiality</w:t>
      </w:r>
      <w:r>
        <w:t xml:space="preserve">: TLS 1.2+. Optional payload encryption (JWE) for sensitive security events.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Authorization</w:t>
      </w:r>
      <w:r>
        <w:t xml:space="preserve">: Least privilege; per‑topic/per‑subscription rights scoped by tenant/device.</w:t>
      </w:r>
    </w:p>
    <w:p>
      <w:r>
        <w:pict>
          <v:rect style="width:0;height:1.5pt" o:hralign="center" o:hrstd="t" o:hr="t"/>
        </w:pict>
      </w:r>
    </w:p>
    <w:bookmarkEnd w:id="28"/>
    <w:bookmarkStart w:id="32" w:name="topic-subscription-design-service-bus"/>
    <w:p>
      <w:pPr>
        <w:pStyle w:val="Heading2"/>
      </w:pPr>
      <w:r>
        <w:t xml:space="preserve">5. Topic &amp; Subscription Design (Service Bus)</w:t>
      </w:r>
    </w:p>
    <w:bookmarkStart w:id="29" w:name="topic-strategy"/>
    <w:p>
      <w:pPr>
        <w:pStyle w:val="Heading3"/>
      </w:pPr>
      <w:r>
        <w:t xml:space="preserve">5.1 Topic Strategy</w:t>
      </w:r>
    </w:p>
    <w:p>
      <w:pPr>
        <w:pStyle w:val="FirstParagraph"/>
      </w:pPr>
      <w:r>
        <w:rPr>
          <w:b/>
          <w:bCs/>
        </w:rPr>
        <w:t xml:space="preserve">Option A – Single topic with filtering (recommended)</w:t>
      </w:r>
      <w:r>
        <w:t xml:space="preserve"> </w:t>
      </w:r>
      <w:r>
        <w:t xml:space="preserve">- Topic:</w:t>
      </w:r>
      <w:r>
        <w:t xml:space="preserve"> </w:t>
      </w:r>
      <w:r>
        <w:rPr>
          <w:rStyle w:val="VerbatimChar"/>
        </w:rPr>
        <w:t xml:space="preserve">d2c.gateway.events</w:t>
      </w:r>
      <w:r>
        <w:t xml:space="preserve"> </w:t>
      </w:r>
      <w:r>
        <w:t xml:space="preserve">- Application properties: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∈ {</w:t>
      </w:r>
      <w:r>
        <w:rPr>
          <w:rStyle w:val="VerbatimChar"/>
        </w:rPr>
        <w:t xml:space="preserve">health</w:t>
      </w:r>
      <w:r>
        <w:t xml:space="preserve">,</w:t>
      </w:r>
      <w:r>
        <w:rPr>
          <w:rStyle w:val="VerbatimChar"/>
        </w:rPr>
        <w:t xml:space="preserve">metrics</w:t>
      </w:r>
      <w:r>
        <w:t xml:space="preserve">,</w:t>
      </w:r>
      <w:r>
        <w:rPr>
          <w:rStyle w:val="VerbatimChar"/>
        </w:rPr>
        <w:t xml:space="preserve">serviceStatus</w:t>
      </w:r>
      <w:r>
        <w:t xml:space="preserve">,</w:t>
      </w:r>
      <w:r>
        <w:rPr>
          <w:rStyle w:val="VerbatimChar"/>
        </w:rPr>
        <w:t xml:space="preserve">security</w:t>
      </w:r>
      <w:r>
        <w:t xml:space="preserve">,</w:t>
      </w:r>
      <w:r>
        <w:rPr>
          <w:rStyle w:val="VerbatimChar"/>
        </w:rPr>
        <w:t xml:space="preserve">sw_ack</w:t>
      </w:r>
      <w:r>
        <w:t xml:space="preserve">}, plus</w:t>
      </w:r>
      <w:r>
        <w:t xml:space="preserve"> </w:t>
      </w:r>
      <w:r>
        <w:rPr>
          <w:rStyle w:val="VerbatimChar"/>
        </w:rPr>
        <w:t xml:space="preserve">tenantId</w:t>
      </w:r>
      <w:r>
        <w:t xml:space="preserve">,</w:t>
      </w:r>
      <w:r>
        <w:rPr>
          <w:rStyle w:val="VerbatimChar"/>
        </w:rPr>
        <w:t xml:space="preserve">deviceId</w:t>
      </w:r>
      <w:r>
        <w:t xml:space="preserve">,</w:t>
      </w:r>
      <w:r>
        <w:rPr>
          <w:rStyle w:val="VerbatimChar"/>
        </w:rPr>
        <w:t xml:space="preserve">severity</w:t>
      </w:r>
      <w:r>
        <w:t xml:space="preserve">,</w:t>
      </w:r>
      <w:r>
        <w:rPr>
          <w:rStyle w:val="VerbatimChar"/>
        </w:rPr>
        <w:t xml:space="preserve">schemaVer</w:t>
      </w:r>
      <w:r>
        <w:t xml:space="preserve">,</w:t>
      </w:r>
      <w:r>
        <w:rPr>
          <w:rStyle w:val="VerbatimChar"/>
        </w:rPr>
        <w:t xml:space="preserve">traceId</w:t>
      </w:r>
      <w:r>
        <w:t xml:space="preserve">,</w:t>
      </w:r>
      <w:r>
        <w:rPr>
          <w:rStyle w:val="VerbatimChar"/>
        </w:rPr>
        <w:t xml:space="preserve">dedupeKey</w:t>
      </w:r>
      <w:r>
        <w:t xml:space="preserve">.</w:t>
      </w:r>
      <w:r>
        <w:t xml:space="preserve"> </w:t>
      </w:r>
      <w:r>
        <w:t xml:space="preserve">- Subscriptions with SQL filters: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sub_health</w:t>
      </w:r>
      <w:r>
        <w:t xml:space="preserve">:</w:t>
      </w:r>
      <w:r>
        <w:t xml:space="preserve"> </w:t>
      </w:r>
      <w:r>
        <w:rPr>
          <w:rStyle w:val="VerbatimChar"/>
        </w:rPr>
        <w:t xml:space="preserve">type = 'health'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sub_metrics</w:t>
      </w:r>
      <w:r>
        <w:t xml:space="preserve">:</w:t>
      </w:r>
      <w:r>
        <w:t xml:space="preserve"> </w:t>
      </w:r>
      <w:r>
        <w:rPr>
          <w:rStyle w:val="VerbatimChar"/>
        </w:rPr>
        <w:t xml:space="preserve">type = 'metrics'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sub_security</w:t>
      </w:r>
      <w:r>
        <w:t xml:space="preserve">:</w:t>
      </w:r>
      <w:r>
        <w:t xml:space="preserve"> </w:t>
      </w:r>
      <w:r>
        <w:rPr>
          <w:rStyle w:val="VerbatimChar"/>
        </w:rPr>
        <w:t xml:space="preserve">type = 'security'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sub_serviceStatus</w:t>
      </w:r>
      <w:r>
        <w:t xml:space="preserve">:</w:t>
      </w:r>
      <w:r>
        <w:t xml:space="preserve"> </w:t>
      </w:r>
      <w:r>
        <w:rPr>
          <w:rStyle w:val="VerbatimChar"/>
        </w:rPr>
        <w:t xml:space="preserve">type = 'serviceStatus'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sub_all</w:t>
      </w:r>
      <w:r>
        <w:t xml:space="preserve">: no filter (raw archive/ELT)</w:t>
      </w:r>
    </w:p>
    <w:p>
      <w:pPr>
        <w:pStyle w:val="BodyText"/>
      </w:pPr>
      <w:r>
        <w:rPr>
          <w:b/>
          <w:bCs/>
        </w:rPr>
        <w:t xml:space="preserve">Option B – One topic per feature</w:t>
      </w:r>
      <w:r>
        <w:t xml:space="preserve"> </w:t>
      </w:r>
      <w:r>
        <w:t xml:space="preserve">- Topics:</w:t>
      </w:r>
      <w:r>
        <w:t xml:space="preserve"> </w:t>
      </w:r>
      <w:r>
        <w:rPr>
          <w:rStyle w:val="VerbatimChar"/>
        </w:rPr>
        <w:t xml:space="preserve">d2c.health</w:t>
      </w:r>
      <w:r>
        <w:t xml:space="preserve">,</w:t>
      </w:r>
      <w:r>
        <w:t xml:space="preserve"> </w:t>
      </w:r>
      <w:r>
        <w:rPr>
          <w:rStyle w:val="VerbatimChar"/>
        </w:rPr>
        <w:t xml:space="preserve">d2c.metrics</w:t>
      </w:r>
      <w:r>
        <w:t xml:space="preserve">,</w:t>
      </w:r>
      <w:r>
        <w:t xml:space="preserve"> </w:t>
      </w:r>
      <w:r>
        <w:rPr>
          <w:rStyle w:val="VerbatimChar"/>
        </w:rPr>
        <w:t xml:space="preserve">d2c.security</w:t>
      </w:r>
      <w:r>
        <w:t xml:space="preserve">,</w:t>
      </w:r>
      <w:r>
        <w:t xml:space="preserve"> </w:t>
      </w:r>
      <w:r>
        <w:rPr>
          <w:rStyle w:val="VerbatimChar"/>
        </w:rPr>
        <w:t xml:space="preserve">d2c.serviceStatus</w:t>
      </w:r>
      <w:r>
        <w:t xml:space="preserve">.</w:t>
      </w:r>
      <w:r>
        <w:t xml:space="preserve"> </w:t>
      </w:r>
      <w:r>
        <w:t xml:space="preserve">- Pros: hard isolation, per‑feature quotas. Cons: more entities to manage, client routing logic.</w:t>
      </w:r>
    </w:p>
    <w:p>
      <w:pPr>
        <w:pStyle w:val="BodyText"/>
      </w:pPr>
      <w:r>
        <w:rPr>
          <w:b/>
          <w:bCs/>
        </w:rPr>
        <w:t xml:space="preserve">Default</w:t>
      </w:r>
      <w:r>
        <w:t xml:space="preserve">:</w:t>
      </w:r>
      <w:r>
        <w:t xml:space="preserve"> </w:t>
      </w:r>
      <w:r>
        <w:rPr>
          <w:b/>
          <w:bCs/>
        </w:rPr>
        <w:t xml:space="preserve">Option A</w:t>
      </w:r>
      <w:r>
        <w:t xml:space="preserve"> </w:t>
      </w:r>
      <w:r>
        <w:t xml:space="preserve">(single topic + filters). Add per‑tenant subscriptions if needed for isolation.</w:t>
      </w:r>
    </w:p>
    <w:bookmarkEnd w:id="29"/>
    <w:bookmarkStart w:id="30" w:name="command-channel-c2d"/>
    <w:p>
      <w:pPr>
        <w:pStyle w:val="Heading3"/>
      </w:pPr>
      <w:r>
        <w:t xml:space="preserve">5.2 Command Channel (C2D)</w:t>
      </w:r>
    </w:p>
    <w:p>
      <w:pPr>
        <w:pStyle w:val="Compact"/>
        <w:numPr>
          <w:ilvl w:val="0"/>
          <w:numId w:val="1008"/>
        </w:numPr>
      </w:pPr>
      <w:r>
        <w:t xml:space="preserve">Topic:</w:t>
      </w:r>
      <w:r>
        <w:t xml:space="preserve"> </w:t>
      </w:r>
      <w:r>
        <w:rPr>
          <w:rStyle w:val="VerbatimChar"/>
        </w:rPr>
        <w:t xml:space="preserve">c2d.gateway.commands</w:t>
      </w:r>
    </w:p>
    <w:p>
      <w:pPr>
        <w:pStyle w:val="Compact"/>
        <w:numPr>
          <w:ilvl w:val="0"/>
          <w:numId w:val="1008"/>
        </w:numPr>
      </w:pPr>
      <w:r>
        <w:t xml:space="preserve">Subscriptions per rollout wave/region:</w:t>
      </w:r>
      <w:r>
        <w:t xml:space="preserve"> </w:t>
      </w:r>
      <w:r>
        <w:rPr>
          <w:rStyle w:val="VerbatimChar"/>
        </w:rPr>
        <w:t xml:space="preserve">update_wave_apac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update_wave_emea</w:t>
      </w:r>
      <w:r>
        <w:t xml:space="preserve">, etc.</w:t>
      </w:r>
    </w:p>
    <w:bookmarkEnd w:id="30"/>
    <w:bookmarkStart w:id="31" w:name="number-of-subscribers-initial"/>
    <w:p>
      <w:pPr>
        <w:pStyle w:val="Heading3"/>
      </w:pPr>
      <w:r>
        <w:t xml:space="preserve">5.3 Number of Subscribers (initial)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sub_health</w:t>
      </w:r>
      <w:r>
        <w:t xml:space="preserve"> </w:t>
      </w:r>
      <w:r>
        <w:t xml:space="preserve">→ 1–2 consumers (realtime status + dashboard cache)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sub_metrics</w:t>
      </w:r>
      <w:r>
        <w:t xml:space="preserve"> </w:t>
      </w:r>
      <w:r>
        <w:t xml:space="preserve">→ 1–n (metrics processor; optional lake ingestion)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sub_security</w:t>
      </w:r>
      <w:r>
        <w:t xml:space="preserve"> </w:t>
      </w:r>
      <w:r>
        <w:t xml:space="preserve">→ 1–2 (SOAR/SIEM pipeline)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sub_all</w:t>
      </w:r>
      <w:r>
        <w:t xml:space="preserve"> </w:t>
      </w:r>
      <w:r>
        <w:t xml:space="preserve">→ 1 (raw archiver)</w:t>
      </w:r>
    </w:p>
    <w:p>
      <w:pPr>
        <w:pStyle w:val="Compact"/>
        <w:numPr>
          <w:ilvl w:val="0"/>
          <w:numId w:val="1009"/>
        </w:numPr>
      </w:pPr>
      <w:r>
        <w:t xml:space="preserve">Scale out via competing consumers per subscription.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8" w:name="message-semantics-policies"/>
    <w:p>
      <w:pPr>
        <w:pStyle w:val="Heading2"/>
      </w:pPr>
      <w:r>
        <w:t xml:space="preserve">6. Message Semantics &amp; Policies</w:t>
      </w:r>
    </w:p>
    <w:bookmarkStart w:id="33" w:name="idempotency-deduplication"/>
    <w:p>
      <w:pPr>
        <w:pStyle w:val="Heading3"/>
      </w:pPr>
      <w:r>
        <w:t xml:space="preserve">6.1 Idempotency &amp; De‑duplication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Headers</w:t>
      </w:r>
      <w:r>
        <w:t xml:space="preserve">:</w:t>
      </w:r>
      <w:r>
        <w:t xml:space="preserve"> </w:t>
      </w:r>
      <w:r>
        <w:rPr>
          <w:rStyle w:val="VerbatimChar"/>
        </w:rPr>
        <w:t xml:space="preserve">messageId</w:t>
      </w:r>
      <w:r>
        <w:t xml:space="preserve"> </w:t>
      </w:r>
      <w:r>
        <w:t xml:space="preserve">(UUID),</w:t>
      </w:r>
      <w:r>
        <w:t xml:space="preserve"> </w:t>
      </w:r>
      <w:r>
        <w:rPr>
          <w:rStyle w:val="VerbatimChar"/>
        </w:rPr>
        <w:t xml:space="preserve">deviceId</w:t>
      </w:r>
      <w:r>
        <w:t xml:space="preserve">,</w:t>
      </w:r>
      <w:r>
        <w:t xml:space="preserve"> </w:t>
      </w:r>
      <w:r>
        <w:rPr>
          <w:rStyle w:val="VerbatimChar"/>
        </w:rPr>
        <w:t xml:space="preserve">ts</w:t>
      </w:r>
      <w:r>
        <w:t xml:space="preserve">,</w:t>
      </w:r>
      <w:r>
        <w:t xml:space="preserve"> </w:t>
      </w:r>
      <w:r>
        <w:rPr>
          <w:rStyle w:val="VerbatimChar"/>
        </w:rPr>
        <w:t xml:space="preserve">seq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Dedup window</w:t>
      </w:r>
      <w:r>
        <w:t xml:space="preserve"> </w:t>
      </w:r>
      <w:r>
        <w:t xml:space="preserve">(Service Bus): 10 minutes (configurable). Device must</w:t>
      </w:r>
      <w:r>
        <w:t xml:space="preserve"> </w:t>
      </w:r>
      <w:r>
        <w:rPr>
          <w:b/>
          <w:bCs/>
        </w:rPr>
        <w:t xml:space="preserve">retry with same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messageId</w:t>
      </w:r>
      <w:r>
        <w:t xml:space="preserve"> </w:t>
      </w:r>
      <w:r>
        <w:t xml:space="preserve">until broker settlement is received.</w:t>
      </w:r>
    </w:p>
    <w:p>
      <w:pPr>
        <w:pStyle w:val="Compact"/>
        <w:numPr>
          <w:ilvl w:val="0"/>
          <w:numId w:val="1010"/>
        </w:numPr>
      </w:pPr>
      <w:r>
        <w:t xml:space="preserve">Server handlers must be</w:t>
      </w:r>
      <w:r>
        <w:t xml:space="preserve"> </w:t>
      </w:r>
      <w:r>
        <w:rPr>
          <w:b/>
          <w:bCs/>
        </w:rPr>
        <w:t xml:space="preserve">idempotent</w:t>
      </w:r>
      <w:r>
        <w:t xml:space="preserve"> </w:t>
      </w:r>
      <w:r>
        <w:t xml:space="preserve">on (</w:t>
      </w:r>
      <w:r>
        <w:rPr>
          <w:rStyle w:val="VerbatimChar"/>
        </w:rPr>
        <w:t xml:space="preserve">deviceId</w:t>
      </w:r>
      <w:r>
        <w:t xml:space="preserve">,</w:t>
      </w:r>
      <w:r>
        <w:rPr>
          <w:rStyle w:val="VerbatimChar"/>
        </w:rPr>
        <w:t xml:space="preserve">ts</w:t>
      </w:r>
      <w:r>
        <w:t xml:space="preserve">,</w:t>
      </w:r>
      <w:r>
        <w:rPr>
          <w:rStyle w:val="VerbatimChar"/>
        </w:rPr>
        <w:t xml:space="preserve">seq</w:t>
      </w:r>
      <w:r>
        <w:t xml:space="preserve">|</w:t>
      </w:r>
      <w:r>
        <w:rPr>
          <w:rStyle w:val="VerbatimChar"/>
        </w:rPr>
        <w:t xml:space="preserve">messageId</w:t>
      </w:r>
      <w:r>
        <w:t xml:space="preserve">).</w:t>
      </w:r>
    </w:p>
    <w:bookmarkEnd w:id="33"/>
    <w:bookmarkStart w:id="34" w:name="ordering"/>
    <w:p>
      <w:pPr>
        <w:pStyle w:val="Heading3"/>
      </w:pPr>
      <w:r>
        <w:t xml:space="preserve">6.2 Ordering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Sessions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SessionId = deviceId</w:t>
      </w:r>
      <w:r>
        <w:t xml:space="preserve"> </w:t>
      </w:r>
      <w:r>
        <w:t xml:space="preserve">for health/security/serviceStatus to preserve per‑device order.</w:t>
      </w:r>
    </w:p>
    <w:p>
      <w:pPr>
        <w:pStyle w:val="Compact"/>
        <w:numPr>
          <w:ilvl w:val="0"/>
          <w:numId w:val="1011"/>
        </w:numPr>
      </w:pPr>
      <w:r>
        <w:t xml:space="preserve">Metrics may skip sessions; use</w:t>
      </w:r>
      <w:r>
        <w:t xml:space="preserve"> </w:t>
      </w:r>
      <w:r>
        <w:rPr>
          <w:rStyle w:val="VerbatimChar"/>
        </w:rPr>
        <w:t xml:space="preserve">PartitionKey = deviceId</w:t>
      </w:r>
      <w:r>
        <w:t xml:space="preserve"> </w:t>
      </w:r>
      <w:r>
        <w:t xml:space="preserve">for locality.</w:t>
      </w:r>
    </w:p>
    <w:bookmarkEnd w:id="34"/>
    <w:bookmarkStart w:id="35" w:name="ttl"/>
    <w:p>
      <w:pPr>
        <w:pStyle w:val="Heading3"/>
      </w:pPr>
      <w:r>
        <w:t xml:space="preserve">6.3 TTL</w:t>
      </w:r>
    </w:p>
    <w:p>
      <w:pPr>
        <w:pStyle w:val="Compact"/>
        <w:numPr>
          <w:ilvl w:val="0"/>
          <w:numId w:val="1012"/>
        </w:numPr>
      </w:pPr>
      <w:r>
        <w:t xml:space="preserve">Health:</w:t>
      </w:r>
      <w:r>
        <w:t xml:space="preserve"> </w:t>
      </w:r>
      <w:r>
        <w:rPr>
          <w:b/>
          <w:bCs/>
        </w:rPr>
        <w:t xml:space="preserve">1 hour</w:t>
      </w:r>
      <w:r>
        <w:t xml:space="preserve"> </w:t>
      </w:r>
      <w:r>
        <w:t xml:space="preserve">(stale health is useless)</w:t>
      </w:r>
    </w:p>
    <w:p>
      <w:pPr>
        <w:pStyle w:val="Compact"/>
        <w:numPr>
          <w:ilvl w:val="0"/>
          <w:numId w:val="1012"/>
        </w:numPr>
      </w:pPr>
      <w:r>
        <w:t xml:space="preserve">Service status:</w:t>
      </w:r>
      <w:r>
        <w:t xml:space="preserve"> </w:t>
      </w:r>
      <w:r>
        <w:rPr>
          <w:b/>
          <w:bCs/>
        </w:rPr>
        <w:t xml:space="preserve">4 hours</w:t>
      </w:r>
      <w:r>
        <w:t xml:space="preserve"> </w:t>
      </w:r>
      <w:r>
        <w:t xml:space="preserve">(for recent history)</w:t>
      </w:r>
    </w:p>
    <w:p>
      <w:pPr>
        <w:pStyle w:val="Compact"/>
        <w:numPr>
          <w:ilvl w:val="0"/>
          <w:numId w:val="1012"/>
        </w:numPr>
      </w:pPr>
      <w:r>
        <w:t xml:space="preserve">Security:</w:t>
      </w:r>
      <w:r>
        <w:t xml:space="preserve"> </w:t>
      </w:r>
      <w:r>
        <w:rPr>
          <w:b/>
          <w:bCs/>
        </w:rPr>
        <w:t xml:space="preserve">7 days</w:t>
      </w:r>
      <w:r>
        <w:t xml:space="preserve"> </w:t>
      </w:r>
      <w:r>
        <w:t xml:space="preserve">(operations may need replay)</w:t>
      </w:r>
    </w:p>
    <w:p>
      <w:pPr>
        <w:pStyle w:val="Compact"/>
        <w:numPr>
          <w:ilvl w:val="0"/>
          <w:numId w:val="1012"/>
        </w:numPr>
      </w:pPr>
      <w:r>
        <w:t xml:space="preserve">Metrics:</w:t>
      </w:r>
      <w:r>
        <w:t xml:space="preserve"> </w:t>
      </w:r>
      <w:r>
        <w:rPr>
          <w:b/>
          <w:bCs/>
        </w:rPr>
        <w:t xml:space="preserve">24–72 hours</w:t>
      </w:r>
      <w:r>
        <w:t xml:space="preserve"> </w:t>
      </w:r>
      <w:r>
        <w:t xml:space="preserve">(depends on analytics SLA)</w:t>
      </w:r>
    </w:p>
    <w:p>
      <w:pPr>
        <w:pStyle w:val="Compact"/>
        <w:numPr>
          <w:ilvl w:val="0"/>
          <w:numId w:val="1012"/>
        </w:numPr>
      </w:pPr>
      <w:r>
        <w:t xml:space="preserve">SW acks:</w:t>
      </w:r>
      <w:r>
        <w:t xml:space="preserve"> </w:t>
      </w:r>
      <w:r>
        <w:rPr>
          <w:b/>
          <w:bCs/>
        </w:rPr>
        <w:t xml:space="preserve">24 hours</w:t>
      </w:r>
    </w:p>
    <w:bookmarkEnd w:id="35"/>
    <w:bookmarkStart w:id="36" w:name="delivery-ack-strategy"/>
    <w:p>
      <w:pPr>
        <w:pStyle w:val="Heading3"/>
      </w:pPr>
      <w:r>
        <w:t xml:space="preserve">6.4 Delivery ACK Strategy</w:t>
      </w:r>
    </w:p>
    <w:p>
      <w:pPr>
        <w:pStyle w:val="Compact"/>
        <w:numPr>
          <w:ilvl w:val="0"/>
          <w:numId w:val="1013"/>
        </w:numPr>
      </w:pPr>
      <w:r>
        <w:t xml:space="preserve">Device uses AMQP</w:t>
      </w:r>
      <w:r>
        <w:t xml:space="preserve"> </w:t>
      </w:r>
      <w:r>
        <w:rPr>
          <w:b/>
          <w:bCs/>
        </w:rPr>
        <w:t xml:space="preserve">settlement ack</w:t>
      </w:r>
      <w:r>
        <w:t xml:space="preserve"> </w:t>
      </w:r>
      <w:r>
        <w:t xml:space="preserve">(receiver acceptance) as success. 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block waiting for a business response.</w:t>
      </w:r>
    </w:p>
    <w:p>
      <w:pPr>
        <w:pStyle w:val="Compact"/>
        <w:numPr>
          <w:ilvl w:val="0"/>
          <w:numId w:val="1013"/>
        </w:numPr>
      </w:pPr>
      <w:r>
        <w:t xml:space="preserve">Retries until ack or local policy expires. Exponential backoff with jitter.</w:t>
      </w:r>
    </w:p>
    <w:bookmarkEnd w:id="36"/>
    <w:bookmarkStart w:id="37" w:name="batching"/>
    <w:p>
      <w:pPr>
        <w:pStyle w:val="Heading3"/>
      </w:pPr>
      <w:r>
        <w:t xml:space="preserve">6.5 Batching</w:t>
      </w:r>
    </w:p>
    <w:p>
      <w:pPr>
        <w:pStyle w:val="Compact"/>
        <w:numPr>
          <w:ilvl w:val="0"/>
          <w:numId w:val="1014"/>
        </w:numPr>
      </w:pPr>
      <w:r>
        <w:t xml:space="preserve">Metrics batched by</w:t>
      </w:r>
      <w:r>
        <w:t xml:space="preserve"> </w:t>
      </w:r>
      <w:r>
        <w:rPr>
          <w:b/>
          <w:bCs/>
        </w:rPr>
        <w:t xml:space="preserve">time (5 min)</w:t>
      </w:r>
      <w:r>
        <w:t xml:space="preserve"> </w:t>
      </w:r>
      <w:r>
        <w:t xml:space="preserve">or size (e.g., 200 records/250 KB), compressed (gzip/deflate) when beneficial.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offline-connectivity-failure-behavior"/>
    <w:p>
      <w:pPr>
        <w:pStyle w:val="Heading2"/>
      </w:pPr>
      <w:r>
        <w:t xml:space="preserve">7. Offline / Connectivity Failure Behavior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Store‑and‑forward queue</w:t>
      </w:r>
      <w:r>
        <w:t xml:space="preserve"> </w:t>
      </w:r>
      <w:r>
        <w:t xml:space="preserve">on device (disk‑backed). Capacity: target 72h at expected rate.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Priority lanes</w:t>
      </w:r>
      <w:r>
        <w:t xml:space="preserve">: Security &gt; Health/ServiceStatus &gt; Metrics. If storage full, drop oldest</w:t>
      </w:r>
      <w:r>
        <w:t xml:space="preserve"> </w:t>
      </w:r>
      <w:r>
        <w:rPr>
          <w:b/>
          <w:bCs/>
        </w:rPr>
        <w:t xml:space="preserve">metrics</w:t>
      </w:r>
      <w:r>
        <w:t xml:space="preserve"> </w:t>
      </w:r>
      <w:r>
        <w:t xml:space="preserve">first; never drop security.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Retry policy</w:t>
      </w:r>
      <w:r>
        <w:t xml:space="preserve">: exponential backoff (e.g., 1s → 60s cap) with</w:t>
      </w:r>
      <w:r>
        <w:t xml:space="preserve"> </w:t>
      </w:r>
      <w:r>
        <w:rPr>
          <w:b/>
          <w:bCs/>
        </w:rPr>
        <w:t xml:space="preserve">jitter</w:t>
      </w:r>
      <w:r>
        <w:t xml:space="preserve">. Preserve</w:t>
      </w:r>
      <w:r>
        <w:t xml:space="preserve"> </w:t>
      </w:r>
      <w:r>
        <w:rPr>
          <w:rStyle w:val="VerbatimChar"/>
        </w:rPr>
        <w:t xml:space="preserve">messageId</w:t>
      </w:r>
      <w:r>
        <w:t xml:space="preserve"> </w:t>
      </w:r>
      <w:r>
        <w:t xml:space="preserve">across retries.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Recovery</w:t>
      </w:r>
      <w:r>
        <w:t xml:space="preserve">: upon reconnect, flush in order (by timestamp) per lane. Health should publish</w:t>
      </w:r>
      <w:r>
        <w:t xml:space="preserve"> </w:t>
      </w:r>
      <w:r>
        <w:rPr>
          <w:b/>
          <w:bCs/>
        </w:rPr>
        <w:t xml:space="preserve">current</w:t>
      </w:r>
      <w:r>
        <w:t xml:space="preserve"> </w:t>
      </w:r>
      <w:r>
        <w:t xml:space="preserve">snapshot first, followed by backlog (mark as</w:t>
      </w:r>
      <w:r>
        <w:t xml:space="preserve"> </w:t>
      </w:r>
      <w:r>
        <w:rPr>
          <w:rStyle w:val="VerbatimChar"/>
        </w:rPr>
        <w:t xml:space="preserve">late:true</w:t>
      </w:r>
      <w:r>
        <w:t xml:space="preserve">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Clock drift handling</w:t>
      </w:r>
      <w:r>
        <w:t xml:space="preserve">: include</w:t>
      </w:r>
      <w:r>
        <w:t xml:space="preserve"> </w:t>
      </w:r>
      <w:r>
        <w:rPr>
          <w:rStyle w:val="VerbatimChar"/>
        </w:rPr>
        <w:t xml:space="preserve">ts</w:t>
      </w:r>
      <w:r>
        <w:t xml:space="preserve"> </w:t>
      </w:r>
      <w:r>
        <w:t xml:space="preserve">(ISO 8601) and monotonic</w:t>
      </w:r>
      <w:r>
        <w:t xml:space="preserve"> </w:t>
      </w:r>
      <w:r>
        <w:rPr>
          <w:rStyle w:val="VerbatimChar"/>
        </w:rPr>
        <w:t xml:space="preserve">seq</w:t>
      </w:r>
      <w:r>
        <w:t xml:space="preserve">; server accepts up to ±10 min skew.</w:t>
      </w:r>
    </w:p>
    <w:p>
      <w:r>
        <w:pict>
          <v:rect style="width:0;height:1.5pt" o:hralign="center" o:hrstd="t" o:hr="t"/>
        </w:pict>
      </w:r>
    </w:p>
    <w:bookmarkEnd w:id="39"/>
    <w:bookmarkStart w:id="40" w:name="error-handling-dlq"/>
    <w:p>
      <w:pPr>
        <w:pStyle w:val="Heading2"/>
      </w:pPr>
      <w:r>
        <w:t xml:space="preserve">8. Error Handling &amp; DLQ</w:t>
      </w:r>
    </w:p>
    <w:p>
      <w:pPr>
        <w:pStyle w:val="Compact"/>
        <w:numPr>
          <w:ilvl w:val="0"/>
          <w:numId w:val="1016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dead‑letter queues (DLQ)</w:t>
      </w:r>
      <w:r>
        <w:t xml:space="preserve"> </w:t>
      </w:r>
      <w:r>
        <w:t xml:space="preserve">for poison messages (exceed max delivery count or deserialization error).</w:t>
      </w:r>
    </w:p>
    <w:p>
      <w:pPr>
        <w:pStyle w:val="Compact"/>
        <w:numPr>
          <w:ilvl w:val="0"/>
          <w:numId w:val="1016"/>
        </w:numPr>
      </w:pPr>
      <w:r>
        <w:t xml:space="preserve">DLQ monitored by ops; automated reprocess job checks and republishes after fix.</w:t>
      </w:r>
    </w:p>
    <w:p>
      <w:pPr>
        <w:pStyle w:val="Compact"/>
        <w:numPr>
          <w:ilvl w:val="0"/>
          <w:numId w:val="1016"/>
        </w:numPr>
      </w:pPr>
      <w:r>
        <w:t xml:space="preserve">Include</w:t>
      </w:r>
      <w:r>
        <w:t xml:space="preserve"> </w:t>
      </w:r>
      <w:r>
        <w:rPr>
          <w:rStyle w:val="VerbatimChar"/>
        </w:rPr>
        <w:t xml:space="preserve">errorCategory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parseError</w:t>
      </w:r>
      <w:r>
        <w:t xml:space="preserve"> </w:t>
      </w:r>
      <w:r>
        <w:t xml:space="preserve">details when NACKing internally.</w:t>
      </w:r>
    </w:p>
    <w:p>
      <w:r>
        <w:pict>
          <v:rect style="width:0;height:1.5pt" o:hralign="center" o:hrstd="t" o:hr="t"/>
        </w:pict>
      </w:r>
    </w:p>
    <w:bookmarkEnd w:id="40"/>
    <w:bookmarkStart w:id="41" w:name="payload-schemas-examples"/>
    <w:p>
      <w:pPr>
        <w:pStyle w:val="Heading2"/>
      </w:pPr>
      <w:r>
        <w:t xml:space="preserve">9. Payload Schemas (examples)</w:t>
      </w:r>
    </w:p>
    <w:p>
      <w:pPr>
        <w:pStyle w:val="FirstParagraph"/>
      </w:pPr>
      <w:r>
        <w:rPr>
          <w:b/>
          <w:bCs/>
        </w:rPr>
        <w:t xml:space="preserve">Health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"schemaVer"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"deviceId"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"gw-001"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"2025-10-22T12:00:00Z"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"online"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 services healthy"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"services"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"serv1"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"green"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"fault"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"serv2"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"partial"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"fault"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"BROKER_TIMEOUT"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"Broker not reachable"</w:t>
      </w:r>
      <w:r>
        <w:rPr>
          <w:rStyle w:val="FunctionTok"/>
        </w:rPr>
        <w:t xml:space="preserve">}}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Metrics (batch)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"schemaVer"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"deviceId"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"gw-001"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"2025-10-22T12:00:00Z"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"cpu"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0.42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"ratio"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"core"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"total"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"mem_mb"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512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"u"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"MB"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173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Service Status Change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"schemaVer"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"deviceId"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"gw-001"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"2025-10-22T12:03:12Z"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"service"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"serv1"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"protocols"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"Up"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"Broker"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"Down"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"reason"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"timeout"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"overall"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"partial"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Security Alert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"schemaVer"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"deviceId"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"gw-001"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"2025-10-22T12:04:55Z"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"event"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"cve_detected"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"cve"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"CVE-2025-12345"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"openssl 1.1.1x vulnerable"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Software Update (C2D) → Ack (D2C)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"schemaVer"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"commandId"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"cmd-7f2a"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"deviceId"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"gw-001"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"in_progress"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"progressPct"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"download 420/1000 MB"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1"/>
    <w:bookmarkStart w:id="42" w:name="cloud-consumers-scaling"/>
    <w:p>
      <w:pPr>
        <w:pStyle w:val="Heading2"/>
      </w:pPr>
      <w:r>
        <w:t xml:space="preserve">10. Cloud Consumers &amp; Scaling</w:t>
      </w:r>
    </w:p>
    <w:p>
      <w:pPr>
        <w:pStyle w:val="Compact"/>
        <w:numPr>
          <w:ilvl w:val="0"/>
          <w:numId w:val="1017"/>
        </w:numPr>
      </w:pPr>
      <w:r>
        <w:t xml:space="preserve">Each subscription processed by a</w:t>
      </w:r>
      <w:r>
        <w:t xml:space="preserve"> </w:t>
      </w:r>
      <w:r>
        <w:rPr>
          <w:b/>
          <w:bCs/>
        </w:rPr>
        <w:t xml:space="preserve">consumer group</w:t>
      </w:r>
      <w:r>
        <w:t xml:space="preserve"> </w:t>
      </w:r>
      <w:r>
        <w:t xml:space="preserve">(competing consumers) for scale-out.</w:t>
      </w:r>
    </w:p>
    <w:p>
      <w:pPr>
        <w:pStyle w:val="Compact"/>
        <w:numPr>
          <w:ilvl w:val="0"/>
          <w:numId w:val="1017"/>
        </w:numPr>
      </w:pPr>
      <w:r>
        <w:t xml:space="preserve">Consumers are</w:t>
      </w:r>
      <w:r>
        <w:t xml:space="preserve"> </w:t>
      </w:r>
      <w:r>
        <w:rPr>
          <w:b/>
          <w:bCs/>
        </w:rPr>
        <w:t xml:space="preserve">idempotent</w:t>
      </w:r>
      <w:r>
        <w:t xml:space="preserve">; de‑duplicate on (</w:t>
      </w:r>
      <w:r>
        <w:rPr>
          <w:rStyle w:val="VerbatimChar"/>
        </w:rPr>
        <w:t xml:space="preserve">deviceId</w:t>
      </w:r>
      <w:r>
        <w:t xml:space="preserve">,</w:t>
      </w:r>
      <w:r>
        <w:rPr>
          <w:rStyle w:val="VerbatimChar"/>
        </w:rPr>
        <w:t xml:space="preserve">ts</w:t>
      </w:r>
      <w:r>
        <w:t xml:space="preserve">,</w:t>
      </w:r>
      <w:r>
        <w:rPr>
          <w:rStyle w:val="VerbatimChar"/>
        </w:rPr>
        <w:t xml:space="preserve">seq</w:t>
      </w:r>
      <w:r>
        <w:t xml:space="preserve">|</w:t>
      </w:r>
      <w:r>
        <w:rPr>
          <w:rStyle w:val="VerbatimChar"/>
        </w:rPr>
        <w:t xml:space="preserve">messageId</w:t>
      </w:r>
      <w:r>
        <w:t xml:space="preserve">).</w:t>
      </w:r>
    </w:p>
    <w:p>
      <w:pPr>
        <w:pStyle w:val="Compact"/>
        <w:numPr>
          <w:ilvl w:val="0"/>
          <w:numId w:val="1017"/>
        </w:numPr>
      </w:pPr>
      <w:r>
        <w:t xml:space="preserve">Expose</w:t>
      </w:r>
      <w:r>
        <w:t xml:space="preserve"> </w:t>
      </w:r>
      <w:r>
        <w:rPr>
          <w:b/>
          <w:bCs/>
        </w:rPr>
        <w:t xml:space="preserve">prometheus/AppInsights</w:t>
      </w:r>
      <w:r>
        <w:t xml:space="preserve"> </w:t>
      </w:r>
      <w:r>
        <w:t xml:space="preserve">metrics: success rate, retry counts, DLQ depth, processing lag, handler latency P50/P95/P99.</w:t>
      </w:r>
    </w:p>
    <w:p>
      <w:r>
        <w:pict>
          <v:rect style="width:0;height:1.5pt" o:hralign="center" o:hrstd="t" o:hr="t"/>
        </w:pict>
      </w:r>
    </w:p>
    <w:bookmarkEnd w:id="42"/>
    <w:bookmarkStart w:id="43" w:name="monitoring-slos"/>
    <w:p>
      <w:pPr>
        <w:pStyle w:val="Heading2"/>
      </w:pPr>
      <w:r>
        <w:t xml:space="preserve">11. Monitoring &amp; SLOs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Device→Broker P95</w:t>
      </w:r>
      <w:r>
        <w:t xml:space="preserve">: Health/security ≤ 5 s; metrics ≤ 10 s.</w:t>
      </w:r>
    </w:p>
    <w:p>
      <w:pPr>
        <w:pStyle w:val="Compact"/>
        <w:numPr>
          <w:ilvl w:val="0"/>
          <w:numId w:val="1018"/>
        </w:numPr>
      </w:pPr>
      <w:r>
        <w:t xml:space="preserve">Alerts on: auth failures, throttling, DLQ growth, session lock lost, partition/key skew.</w:t>
      </w:r>
    </w:p>
    <w:p>
      <w:pPr>
        <w:pStyle w:val="Compact"/>
        <w:numPr>
          <w:ilvl w:val="0"/>
          <w:numId w:val="1018"/>
        </w:numPr>
      </w:pPr>
      <w:r>
        <w:t xml:space="preserve">Trace using</w:t>
      </w:r>
      <w:r>
        <w:t xml:space="preserve"> </w:t>
      </w:r>
      <w:r>
        <w:rPr>
          <w:rStyle w:val="VerbatimChar"/>
        </w:rPr>
        <w:t xml:space="preserve">traceId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correlationId</w:t>
      </w:r>
      <w:r>
        <w:t xml:space="preserve"> </w:t>
      </w:r>
      <w:r>
        <w:t xml:space="preserve">(commands ↔ acks).</w:t>
      </w:r>
    </w:p>
    <w:p>
      <w:r>
        <w:pict>
          <v:rect style="width:0;height:1.5pt" o:hralign="center" o:hrstd="t" o:hr="t"/>
        </w:pict>
      </w:r>
    </w:p>
    <w:bookmarkEnd w:id="43"/>
    <w:bookmarkStart w:id="44" w:name="dr-compliance"/>
    <w:p>
      <w:pPr>
        <w:pStyle w:val="Heading2"/>
      </w:pPr>
      <w:r>
        <w:t xml:space="preserve">12. DR &amp; Compliance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Namespace geo-pair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alias</w:t>
      </w:r>
      <w:r>
        <w:t xml:space="preserve"> </w:t>
      </w:r>
      <w:r>
        <w:t xml:space="preserve">for failover (Service Bus Premium recommended for mission‑critical).</w:t>
      </w:r>
    </w:p>
    <w:p>
      <w:pPr>
        <w:pStyle w:val="Compact"/>
        <w:numPr>
          <w:ilvl w:val="0"/>
          <w:numId w:val="1019"/>
        </w:numPr>
      </w:pPr>
      <w:r>
        <w:t xml:space="preserve">Optional active/active with multi‑region write if tenant split is region‑scoped.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Data residency</w:t>
      </w:r>
      <w:r>
        <w:t xml:space="preserve"> </w:t>
      </w:r>
      <w:r>
        <w:t xml:space="preserve">tags; customer-managed keys if required.</w:t>
      </w:r>
    </w:p>
    <w:p>
      <w:r>
        <w:pict>
          <v:rect style="width:0;height:1.5pt" o:hralign="center" o:hrstd="t" o:hr="t"/>
        </w:pict>
      </w:r>
    </w:p>
    <w:bookmarkEnd w:id="44"/>
    <w:bookmarkStart w:id="45" w:name="answering-your-design-questions-explicit"/>
    <w:p>
      <w:pPr>
        <w:pStyle w:val="Heading2"/>
      </w:pPr>
      <w:r>
        <w:t xml:space="preserve">13. Answering Your Design Questions (explicit)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What happens when connectivity fails?</w:t>
      </w:r>
      <w:r>
        <w:br/>
      </w:r>
      <w:r>
        <w:t xml:space="preserve">Store‑and‑forward to disk with priority queues; exponential backoff; retry with same</w:t>
      </w:r>
      <w:r>
        <w:t xml:space="preserve"> </w:t>
      </w:r>
      <w:r>
        <w:rPr>
          <w:rStyle w:val="VerbatimChar"/>
        </w:rPr>
        <w:t xml:space="preserve">messageId</w:t>
      </w:r>
      <w:r>
        <w:t xml:space="preserve">; flush in order on reconnect; publish a</w:t>
      </w:r>
      <w:r>
        <w:t xml:space="preserve"> </w:t>
      </w:r>
      <w:r>
        <w:rPr>
          <w:b/>
          <w:bCs/>
        </w:rPr>
        <w:t xml:space="preserve">fresh health snapshot first</w:t>
      </w:r>
      <w:r>
        <w:t xml:space="preserve">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Message recovery process?</w:t>
      </w:r>
      <w:r>
        <w:br/>
      </w:r>
      <w:r>
        <w:t xml:space="preserve">DLQ for poison; reprocess job; idempotent handlers; replay safe due to dedupe keys.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Message duplicates?</w:t>
      </w:r>
      <w:r>
        <w:br/>
      </w:r>
      <w:r>
        <w:t xml:space="preserve">Use Service Bus</w:t>
      </w:r>
      <w:r>
        <w:t xml:space="preserve"> </w:t>
      </w:r>
      <w:r>
        <w:rPr>
          <w:b/>
          <w:bCs/>
        </w:rPr>
        <w:t xml:space="preserve">duplicate detection</w:t>
      </w:r>
      <w:r>
        <w:t xml:space="preserve"> </w:t>
      </w:r>
      <w:r>
        <w:t xml:space="preserve">+ idempotent consumers. Device retries reuse same</w:t>
      </w:r>
      <w:r>
        <w:t xml:space="preserve"> </w:t>
      </w:r>
      <w:r>
        <w:rPr>
          <w:rStyle w:val="VerbatimChar"/>
        </w:rPr>
        <w:t xml:space="preserve">messageId</w:t>
      </w:r>
      <w:r>
        <w:t xml:space="preserve">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Message TTL?</w:t>
      </w:r>
      <w:r>
        <w:br/>
      </w:r>
      <w:r>
        <w:t xml:space="preserve">Health 1h; Service Status 4h; Security 7d; Metrics 24–72h; SW acks 24h (adjust per SLA).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How many subscribers?</w:t>
      </w:r>
      <w:r>
        <w:br/>
      </w:r>
      <w:r>
        <w:t xml:space="preserve">Start with 4 logical subscriptions (health, metrics, security, all). Scale consumers horizontally; add per‑tenant subs if needed.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One topic per feature vs one topic for all?</w:t>
      </w:r>
      <w:r>
        <w:br/>
      </w:r>
      <w:r>
        <w:t xml:space="preserve">Default to</w:t>
      </w:r>
      <w:r>
        <w:t xml:space="preserve"> </w:t>
      </w:r>
      <w:r>
        <w:rPr>
          <w:b/>
          <w:bCs/>
        </w:rPr>
        <w:t xml:space="preserve">one topic + filtered subscriptions</w:t>
      </w:r>
      <w:r>
        <w:t xml:space="preserve">. Switch to per‑feature topics if isolation/quotas/audits demand it.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Should the device wait for a cloud response?</w:t>
      </w:r>
      <w:r>
        <w:br/>
      </w:r>
      <w:r>
        <w:t xml:space="preserve">No. Treat AMQP settlement as delivery confirmation. Only commands require app‑level replies (acks/progress), sent asynchronously.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Should the broker support both HTTP and AMQP?</w:t>
      </w:r>
      <w:r>
        <w:br/>
      </w:r>
      <w:r>
        <w:t xml:space="preserve">Yes—</w:t>
      </w:r>
      <w:r>
        <w:rPr>
          <w:b/>
          <w:bCs/>
        </w:rPr>
        <w:t xml:space="preserve">AMQP</w:t>
      </w:r>
      <w:r>
        <w:t xml:space="preserve"> </w:t>
      </w:r>
      <w:r>
        <w:t xml:space="preserve">primary for efficiency &amp; features;</w:t>
      </w:r>
      <w:r>
        <w:t xml:space="preserve"> </w:t>
      </w:r>
      <w:r>
        <w:rPr>
          <w:b/>
          <w:bCs/>
        </w:rPr>
        <w:t xml:space="preserve">HTTP</w:t>
      </w:r>
      <w:r>
        <w:t xml:space="preserve"> </w:t>
      </w:r>
      <w:r>
        <w:t xml:space="preserve">fallback for constrained networks. Service Bus supports both.</w:t>
      </w:r>
    </w:p>
    <w:p>
      <w:r>
        <w:pict>
          <v:rect style="width:0;height:1.5pt" o:hralign="center" o:hrstd="t" o:hr="t"/>
        </w:pict>
      </w:r>
    </w:p>
    <w:bookmarkEnd w:id="45"/>
    <w:bookmarkStart w:id="46" w:name="final-decision-variants"/>
    <w:p>
      <w:pPr>
        <w:pStyle w:val="Heading2"/>
      </w:pPr>
      <w:r>
        <w:t xml:space="preserve">14. Final Decision &amp; Variants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Primary Recommendation</w:t>
      </w:r>
      <w:r>
        <w:t xml:space="preserve">:</w:t>
      </w:r>
      <w:r>
        <w:t xml:space="preserve"> </w:t>
      </w:r>
      <w:r>
        <w:rPr>
          <w:b/>
          <w:bCs/>
        </w:rPr>
        <w:t xml:space="preserve">Azure Service Bus Topics (Premium)</w:t>
      </w:r>
      <w:r>
        <w:t xml:space="preserve"> </w:t>
      </w:r>
      <w:r>
        <w:t xml:space="preserve">for all D2C control messages (health, metrics (low/med), security, service status) and C2D commands.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Variant A (High‑volume metrics)</w:t>
      </w:r>
      <w:r>
        <w:t xml:space="preserve">: keep health/security/serviceStatus on Service Bus; route</w:t>
      </w:r>
      <w:r>
        <w:t xml:space="preserve"> </w:t>
      </w:r>
      <w:r>
        <w:rPr>
          <w:b/>
          <w:bCs/>
        </w:rPr>
        <w:t xml:space="preserve">metrics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Event Hubs</w:t>
      </w:r>
      <w:r>
        <w:t xml:space="preserve"> </w:t>
      </w:r>
      <w:r>
        <w:t xml:space="preserve">(partition key =</w:t>
      </w:r>
      <w:r>
        <w:t xml:space="preserve"> </w:t>
      </w:r>
      <w:r>
        <w:rPr>
          <w:rStyle w:val="VerbatimChar"/>
        </w:rPr>
        <w:t xml:space="preserve">deviceId</w:t>
      </w:r>
      <w:r>
        <w:t xml:space="preserve">) with a separate ingestion pipeline.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Variant B (Webhook fan‑out)</w:t>
      </w:r>
      <w:r>
        <w:t xml:space="preserve">: raise selected security events from Service Bus to</w:t>
      </w:r>
      <w:r>
        <w:t xml:space="preserve"> </w:t>
      </w:r>
      <w:r>
        <w:rPr>
          <w:b/>
          <w:bCs/>
        </w:rPr>
        <w:t xml:space="preserve">Event Grid</w:t>
      </w:r>
      <w:r>
        <w:t xml:space="preserve"> </w:t>
      </w:r>
      <w:r>
        <w:t xml:space="preserve">to notify external systems.</w:t>
      </w:r>
    </w:p>
    <w:p>
      <w:r>
        <w:pict>
          <v:rect style="width:0;height:1.5pt" o:hralign="center" o:hrstd="t" o:hr="t"/>
        </w:pict>
      </w:r>
    </w:p>
    <w:bookmarkEnd w:id="46"/>
    <w:bookmarkStart w:id="47" w:name="minimal-entity-blueprint-service-bus"/>
    <w:p>
      <w:pPr>
        <w:pStyle w:val="Heading2"/>
      </w:pPr>
      <w:r>
        <w:t xml:space="preserve">15. Minimal Entity Blueprint (Service Bus)</w:t>
      </w:r>
    </w:p>
    <w:p>
      <w:pPr>
        <w:pStyle w:val="FirstParagraph"/>
      </w:pPr>
      <w:r>
        <w:rPr>
          <w:b/>
          <w:bCs/>
        </w:rPr>
        <w:t xml:space="preserve">Topics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d2c.gateway.events</w:t>
      </w:r>
      <w:r>
        <w:t xml:space="preserve"> </w:t>
      </w:r>
      <w:r>
        <w:t xml:space="preserve">(Requires Sessions=true for health/security/serviceStatus; DedupWindow=10m; MaxDeliveryCount=10)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c2d.gateway.commands</w:t>
      </w:r>
      <w:r>
        <w:t xml:space="preserve"> </w:t>
      </w:r>
      <w:r>
        <w:t xml:space="preserve">(Requires Sessions=true; ScheduledMessages=enabled)</w:t>
      </w:r>
    </w:p>
    <w:p>
      <w:pPr>
        <w:pStyle w:val="BodyText"/>
      </w:pPr>
      <w:r>
        <w:rPr>
          <w:b/>
          <w:bCs/>
        </w:rPr>
        <w:t xml:space="preserve">Subscriptions &amp; Filters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sub_health</w:t>
      </w:r>
      <w:r>
        <w:t xml:space="preserve">:</w:t>
      </w:r>
      <w:r>
        <w:t xml:space="preserve"> </w:t>
      </w:r>
      <w:r>
        <w:rPr>
          <w:rStyle w:val="VerbatimChar"/>
        </w:rPr>
        <w:t xml:space="preserve">type = 'health'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sub_metrics</w:t>
      </w:r>
      <w:r>
        <w:t xml:space="preserve">:</w:t>
      </w:r>
      <w:r>
        <w:t xml:space="preserve"> </w:t>
      </w:r>
      <w:r>
        <w:rPr>
          <w:rStyle w:val="VerbatimChar"/>
        </w:rPr>
        <w:t xml:space="preserve">type = 'metrics'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sub_serviceStatus</w:t>
      </w:r>
      <w:r>
        <w:t xml:space="preserve">:</w:t>
      </w:r>
      <w:r>
        <w:t xml:space="preserve"> </w:t>
      </w:r>
      <w:r>
        <w:rPr>
          <w:rStyle w:val="VerbatimChar"/>
        </w:rPr>
        <w:t xml:space="preserve">type = 'serviceStatus'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sub_security</w:t>
      </w:r>
      <w:r>
        <w:t xml:space="preserve">:</w:t>
      </w:r>
      <w:r>
        <w:t xml:space="preserve"> </w:t>
      </w:r>
      <w:r>
        <w:rPr>
          <w:rStyle w:val="VerbatimChar"/>
        </w:rPr>
        <w:t xml:space="preserve">type = 'security'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sub_all</w:t>
      </w:r>
      <w:r>
        <w:t xml:space="preserve">: no filter (archival)</w:t>
      </w:r>
    </w:p>
    <w:p>
      <w:pPr>
        <w:pStyle w:val="BodyText"/>
      </w:pPr>
      <w:r>
        <w:rPr>
          <w:b/>
          <w:bCs/>
        </w:rPr>
        <w:t xml:space="preserve">Headers (Application Properties)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tenantId</w:t>
      </w:r>
      <w:r>
        <w:t xml:space="preserve">,</w:t>
      </w:r>
      <w:r>
        <w:t xml:space="preserve"> </w:t>
      </w:r>
      <w:r>
        <w:rPr>
          <w:rStyle w:val="VerbatimChar"/>
        </w:rPr>
        <w:t xml:space="preserve">deviceId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schemaVer</w:t>
      </w:r>
      <w:r>
        <w:t xml:space="preserve">,</w:t>
      </w:r>
      <w:r>
        <w:t xml:space="preserve"> </w:t>
      </w:r>
      <w:r>
        <w:rPr>
          <w:rStyle w:val="VerbatimChar"/>
        </w:rPr>
        <w:t xml:space="preserve">severity</w:t>
      </w:r>
      <w:r>
        <w:t xml:space="preserve">,</w:t>
      </w:r>
      <w:r>
        <w:t xml:space="preserve"> </w:t>
      </w:r>
      <w:r>
        <w:rPr>
          <w:rStyle w:val="VerbatimChar"/>
        </w:rPr>
        <w:t xml:space="preserve">traceId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correlationId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seq</w:t>
      </w:r>
      <w:r>
        <w:t xml:space="preserve">,</w:t>
      </w:r>
      <w:r>
        <w:t xml:space="preserve"> </w:t>
      </w:r>
      <w:r>
        <w:rPr>
          <w:rStyle w:val="VerbatimChar"/>
        </w:rPr>
        <w:t xml:space="preserve">dedupeKey</w:t>
      </w:r>
      <w:r>
        <w:t xml:space="preserve"> </w:t>
      </w:r>
      <w:r>
        <w:t xml:space="preserve">(==</w:t>
      </w:r>
      <w:r>
        <w:t xml:space="preserve"> </w:t>
      </w:r>
      <w:r>
        <w:rPr>
          <w:rStyle w:val="VerbatimChar"/>
        </w:rPr>
        <w:t xml:space="preserve">messageId</w:t>
      </w:r>
      <w:r>
        <w:t xml:space="preserve"> </w:t>
      </w:r>
      <w:r>
        <w:t xml:space="preserve">by default)</w:t>
      </w:r>
    </w:p>
    <w:p>
      <w:r>
        <w:pict>
          <v:rect style="width:0;height:1.5pt" o:hralign="center" o:hrstd="t" o:hr="t"/>
        </w:pict>
      </w:r>
    </w:p>
    <w:bookmarkEnd w:id="47"/>
    <w:bookmarkStart w:id="48" w:name="sequence-plantuml"/>
    <w:p>
      <w:pPr>
        <w:pStyle w:val="Heading2"/>
      </w:pPr>
      <w:r>
        <w:t xml:space="preserve">16. Sequence (PlantUML)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actor Device</w:t>
      </w:r>
      <w:r>
        <w:br/>
      </w:r>
      <w:r>
        <w:rPr>
          <w:rStyle w:val="VerbatimChar"/>
        </w:rPr>
        <w:t xml:space="preserve">participant "Azure Service Bus" as SB</w:t>
      </w:r>
      <w:r>
        <w:br/>
      </w:r>
      <w:r>
        <w:rPr>
          <w:rStyle w:val="VerbatimChar"/>
        </w:rPr>
        <w:t xml:space="preserve">participant "Metrics Processor" as MP</w:t>
      </w:r>
      <w:r>
        <w:br/>
      </w:r>
      <w:r>
        <w:rPr>
          <w:rStyle w:val="VerbatimChar"/>
        </w:rPr>
        <w:t xml:space="preserve">participant "Status Service" as SS</w:t>
      </w:r>
      <w:r>
        <w:br/>
      </w:r>
      <w:r>
        <w:rPr>
          <w:rStyle w:val="VerbatimChar"/>
        </w:rPr>
        <w:t xml:space="preserve">participant "Security Handler" as SH</w:t>
      </w:r>
      <w:r>
        <w:br/>
      </w:r>
      <w:r>
        <w:br/>
      </w:r>
      <w:r>
        <w:rPr>
          <w:rStyle w:val="VerbatimChar"/>
        </w:rPr>
        <w:t xml:space="preserve">== Periodic &amp; On-Change Send ==</w:t>
      </w:r>
      <w:r>
        <w:br/>
      </w:r>
      <w:r>
        <w:rPr>
          <w:rStyle w:val="VerbatimChar"/>
        </w:rPr>
        <w:t xml:space="preserve">Device -&gt; SB : Send D2C (health/metrics/security) [AMQP]</w:t>
      </w:r>
      <w:r>
        <w:br/>
      </w:r>
      <w:r>
        <w:rPr>
          <w:rStyle w:val="VerbatimChar"/>
        </w:rPr>
        <w:t xml:space="preserve">SB --&gt; Device : Ack (settlement)</w:t>
      </w:r>
      <w:r>
        <w:br/>
      </w:r>
      <w:r>
        <w:br/>
      </w:r>
      <w:r>
        <w:rPr>
          <w:rStyle w:val="VerbatimChar"/>
        </w:rPr>
        <w:t xml:space="preserve">== Parallel Consumption ==</w:t>
      </w:r>
      <w:r>
        <w:br/>
      </w:r>
      <w:r>
        <w:rPr>
          <w:rStyle w:val="VerbatimChar"/>
        </w:rPr>
        <w:t xml:space="preserve">SB -&gt;&gt; SS : sub_health/serviceStatus</w:t>
      </w:r>
      <w:r>
        <w:br/>
      </w:r>
      <w:r>
        <w:rPr>
          <w:rStyle w:val="VerbatimChar"/>
        </w:rPr>
        <w:t xml:space="preserve">SB -&gt;&gt; MP : sub_metrics</w:t>
      </w:r>
      <w:r>
        <w:br/>
      </w:r>
      <w:r>
        <w:rPr>
          <w:rStyle w:val="VerbatimChar"/>
        </w:rPr>
        <w:t xml:space="preserve">SB -&gt;&gt; SH : sub_security</w:t>
      </w:r>
      <w:r>
        <w:br/>
      </w:r>
      <w:r>
        <w:br/>
      </w:r>
      <w:r>
        <w:rPr>
          <w:rStyle w:val="VerbatimChar"/>
        </w:rPr>
        <w:t xml:space="preserve">== Connectivity Loss ==</w:t>
      </w:r>
      <w:r>
        <w:br/>
      </w:r>
      <w:r>
        <w:rPr>
          <w:rStyle w:val="VerbatimChar"/>
        </w:rPr>
        <w:t xml:space="preserve">Device -&gt; Device : Store-and-forward to disk</w:t>
      </w:r>
      <w:r>
        <w:br/>
      </w:r>
      <w:r>
        <w:rPr>
          <w:rStyle w:val="VerbatimChar"/>
        </w:rPr>
        <w:t xml:space="preserve">Device -&gt; Device : Retry with backoff, same messageId</w:t>
      </w:r>
      <w:r>
        <w:br/>
      </w:r>
      <w:r>
        <w:br/>
      </w:r>
      <w:r>
        <w:rPr>
          <w:rStyle w:val="VerbatimChar"/>
        </w:rPr>
        <w:t xml:space="preserve">== Recovery ==</w:t>
      </w:r>
      <w:r>
        <w:br/>
      </w:r>
      <w:r>
        <w:rPr>
          <w:rStyle w:val="VerbatimChar"/>
        </w:rPr>
        <w:t xml:space="preserve">Device -&gt; SB : Flush backlog (ordered by deviceId session)</w:t>
      </w:r>
      <w:r>
        <w:br/>
      </w:r>
      <w:r>
        <w:rPr>
          <w:rStyle w:val="VerbatimChar"/>
        </w:rPr>
        <w:t xml:space="preserve">SB -&gt;&gt; Consumers : Deliver (dedupe, DLQ on poison)</w:t>
      </w:r>
      <w:r>
        <w:br/>
      </w:r>
      <w:r>
        <w:rPr>
          <w:rStyle w:val="VerbatimChar"/>
        </w:rPr>
        <w:t xml:space="preserve">@enduml</w:t>
      </w:r>
    </w:p>
    <w:p>
      <w:r>
        <w:pict>
          <v:rect style="width:0;height:1.5pt" o:hralign="center" o:hrstd="t" o:hr="t"/>
        </w:pict>
      </w:r>
    </w:p>
    <w:bookmarkEnd w:id="48"/>
    <w:bookmarkStart w:id="49" w:name="non-functional-requirements"/>
    <w:p>
      <w:pPr>
        <w:pStyle w:val="Heading2"/>
      </w:pPr>
      <w:r>
        <w:t xml:space="preserve">17. Non-Functional Requirements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Latency</w:t>
      </w:r>
      <w:r>
        <w:t xml:space="preserve">: P95 ≤ 5s (health/security), ≤10s (metrics).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Availability</w:t>
      </w:r>
      <w:r>
        <w:t xml:space="preserve">: 99.9%+ (Premium tier, zone redundant where available).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Cost controls</w:t>
      </w:r>
      <w:r>
        <w:t xml:space="preserve">: batch metrics; compress; avoid oversized messages; right-size tiers.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Telemetry</w:t>
      </w:r>
      <w:r>
        <w:t xml:space="preserve">: device + broker + consumer tracing with</w:t>
      </w:r>
      <w:r>
        <w:t xml:space="preserve"> </w:t>
      </w:r>
      <w:r>
        <w:rPr>
          <w:rStyle w:val="VerbatimChar"/>
        </w:rPr>
        <w:t xml:space="preserve">traceId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9"/>
    <w:bookmarkStart w:id="50" w:name="next-steps"/>
    <w:p>
      <w:pPr>
        <w:pStyle w:val="Heading2"/>
      </w:pPr>
      <w:r>
        <w:t xml:space="preserve">18. Next Steps</w:t>
      </w:r>
    </w:p>
    <w:p>
      <w:pPr>
        <w:pStyle w:val="Compact"/>
        <w:numPr>
          <w:ilvl w:val="0"/>
          <w:numId w:val="1023"/>
        </w:numPr>
      </w:pPr>
      <w:r>
        <w:t xml:space="preserve">Provision Service Bus (Premium) with the topics/subscriptions above.</w:t>
      </w:r>
    </w:p>
    <w:p>
      <w:pPr>
        <w:pStyle w:val="Compact"/>
        <w:numPr>
          <w:ilvl w:val="0"/>
          <w:numId w:val="1023"/>
        </w:numPr>
      </w:pPr>
      <w:r>
        <w:t xml:space="preserve">Implement device AMQP client with store‑and‑forward, retries, and headers.</w:t>
      </w:r>
    </w:p>
    <w:p>
      <w:pPr>
        <w:pStyle w:val="Compact"/>
        <w:numPr>
          <w:ilvl w:val="0"/>
          <w:numId w:val="1023"/>
        </w:numPr>
      </w:pPr>
      <w:r>
        <w:t xml:space="preserve">Stand up consumers (Functions/Workers) per subscription, idempotent with DLQ workflows.</w:t>
      </w:r>
    </w:p>
    <w:p>
      <w:pPr>
        <w:pStyle w:val="Compact"/>
        <w:numPr>
          <w:ilvl w:val="0"/>
          <w:numId w:val="1023"/>
        </w:numPr>
      </w:pPr>
      <w:r>
        <w:t xml:space="preserve">Add dashboards/alerts for DLQ, throttle, auth failures, lag.</w:t>
      </w:r>
    </w:p>
    <w:p>
      <w:pPr>
        <w:pStyle w:val="Compact"/>
        <w:numPr>
          <w:ilvl w:val="0"/>
          <w:numId w:val="1023"/>
        </w:numPr>
      </w:pPr>
      <w:r>
        <w:t xml:space="preserve">Decide whether metrics volume needs Variant A (Event Hubs).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spec is written to be implementation-ready; we can append Bicep/Terraform and AMQP (Java) code snippets on request.</w:t>
      </w: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2025-10-22T13:55:41Z</dcterms:created>
  <dcterms:modified xsi:type="dcterms:W3CDTF">2025-10-22T13:55:41Z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