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Week 3 Deliverable — Paper Annotation Worksheet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QueryGenie: A Self-Correcting Natural Language to SQL Interface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>Team 21 · 2320090050 N V V S S Jayakanth Kamisetti · 2320090009 Boddupally Narendar · Supervisor: M Parameswar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SOP requirement for Week 3: </w:t>
      </w:r>
      <w:r>
        <w:rPr>
          <w:rFonts w:ascii="Calibri" w:cs="Calibri" w:eastAsia="Calibri" w:hAnsi="Calibri"/>
          <w:sz w:val="21"/>
          <w:szCs w:val="21"/>
        </w:rPr>
        <w:t xml:space="preserve">“Deep technical read — annotate the paper section-by-section. Identify: inputs, outputs, key equations, hyperparameters.” Deliverable: annotated PDF + algorithm flowchart.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Anchor paper: </w:t>
      </w:r>
      <w:r>
        <w:rPr>
          <w:rFonts w:ascii="Calibri" w:cs="Calibri" w:eastAsia="Calibri" w:hAnsi="Calibri"/>
          <w:sz w:val="21"/>
          <w:szCs w:val="21"/>
        </w:rPr>
        <w:t xml:space="preserve">CodeS — Towards Building Open-source Language Models for Text-to-SQL, SIGMOD 2024. </w:t>
      </w:r>
      <w:hyperlink w:history="1" r:id="rId9tose9drstvpwaakumz8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https://arxiv.org/abs/2402.16347</w:t>
        </w:r>
      </w:hyperlink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to use this worksheet: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the middle column contains facts already verified from the paper abstract and the official repository. The shaded right-hand column is what you must complete while reading the PDF. Do not guess any value — if you cannot find it, write “not stated in paper”. Fabricating a figure is an academic-misconduct offence under the SOP.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Problem, Inputs and Outputs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rPr>
          <w:tblHeader/>
        </w:trPr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we already know (verified)</w:t>
            </w:r>
          </w:p>
        </w:tc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Fill in from the paper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 addressed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SOTA text-to-SQL relies on closed-source LLMs (GPT-4), causing unclear architectures, data-privacy risk and high inference cost. Also targets schema linking and rapid domain adaptation.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/ page where stated: Section 1 (Introduction), pp. 1–2 — limitations L1 (unclear architectures), L2 (data-privacy risk), L3 (high inference cost) of closed-source LLMs such as GPT-4.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natural language question + the target database (schema, and cell values indexed with BM25).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 input representation used: the constructed “database prompt” (Section 6, Fig. 4): schema-filtered tables/columns + values matched by the value retriever (BM25 then LCS) + metadata (column types, comments, representative values, primary/foreign keys), then the question.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executable SQL query for the target database.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Post-processing applied, if any: beam search generates 4 candidate SQL queries and the first executable candidate is returned (Section 9.1.4, p. 10).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Task formulation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Autoregressive sequence generation conditioned on a constructed prompt.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is the prompt tokenised / truncated? kept within the max context length (8,192 tokens for 1B/3B/7B, 6,144 for 15B in pre-training; 4,096 for SFT); the schema filter prunes tables/columns so the prompt fits (Section 6.1).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Model and Architecture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rPr>
          <w:tblHeader/>
        </w:trPr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we already know (verified)</w:t>
            </w:r>
          </w:p>
        </w:tc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Fill in from the paper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model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StarCoder (code LLM).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 base checkpoint named: StarCoderBase-1B/3B/7B for CodeS-1B/3B/7B; CodeS-15B is built on StarCoder-15B (Section 5.2, p. 6). Therefore CodeS-1B is based on StarCoderBase-1B.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scales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1B, 3B, 7B, 15B — all released publicly on Hugging Face.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scale reports the headline result? on Spider dev (SFT, Table 5) CodeS-7B is highest (EX 85.4); CodeS-15B is framed as the overall leading model. Our reproduction targets CodeS-1B.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Pre-training method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Incremental pre-training on a curated SQL-centric corpus.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Corpus size / token count: 21.5 GB total = 11 GB SQL-related + 6 GB NL-to-code + 4.5 GB NL-related (Sections 4–5.1); trained 2 epochs on the SQL data and 1 epoch each on the other two.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Schema handling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schema item classifier (“schema filter”) ranks and prunes tables and columns.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Its architecture and size: a “schema item classifier” — a compact neural network predicting table/column relevance scores, following RESDSQL [36]; keeps top-k1 tables and top-k2 columns (SFT: 6 and 10). Exact parameter count not stated; quality reported as AUC (Table 3).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 linking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BM25 index built per database over cell contents (build_contents_index.py).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are matched values inserted into the prompt? BM25 (Lucene/pyserini) coarse search then LCS fine matching; matched values are serialised and concatenated into the database prompt (Algorithm 1; e.g. “reviewer.name ( Sarah Martinez )” in Fig. 4).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Domain adaptation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Bi-directional data augmentation.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are the two directions? (1) question-to-SQL augmentation and (2) SQL-to-question augmentation, both using GPT-3.5 (Section 7; Figs. 3c and 5).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Key Equations</w:t>
      </w:r>
    </w:p>
    <w:p>
      <w:pPr>
        <w:spacing w:after="110" w:line="27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abstract does not state the paper’s equations. Record them here as you read — for each, note the equation number, what each symbol means, and where it is used in the pipeline.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rPr>
          <w:tblHeader/>
        </w:trPr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we already know (verified)</w:t>
            </w:r>
          </w:p>
        </w:tc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Fill in from the paper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Training objective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verifiable from the abstract — read Section 3.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Equation no. (2)   Form: p(x) = ∏(i=1..n−1) p(t_i | t_1,…,t_{i−1}) — the autoregressive language-modelling objective for incremental pre-training (Section 5.2).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Schema-filter objective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classifier is trained separately (train_sic.sh in the repo).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Equation no.: none given — the schema item classifier has no numbered loss in the paper; trained as a relevance classifier following [36], reported via AUC (Table 3). (The SFT loss itself is Eq. (3): Loss = (1/h)·Σ p(d_i^sql | d_i^dbp, d_i^q).)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Decoding / scoring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Autoregressive decoding; beam search used in the repo scripts.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Equation no.: none — decoding is beam search producing 4 candidates; the first executable query is selected (Section 9.1.4).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Any other equation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Equation no. (1) S = Parser(Q, D) — task definition (p. 4); Eq. (3) SFT loss (p. 8); Eq. (4) demonstration-retrieval similarity max(sentsim(t^q, d^q), sentsim(t^q, d^qs)) for few-shot (p. 8).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Hyperparameters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Values below marked “repo” were read from the official repository, not the paper. </w:t>
      </w:r>
      <w:r>
        <w:rPr>
          <w:rFonts w:ascii="Calibri" w:cs="Calibri" w:eastAsia="Calibri" w:hAnsi="Calibri"/>
          <w:sz w:val="21"/>
          <w:szCs w:val="21"/>
        </w:rPr>
        <w:t xml:space="preserve">Confirm each against the paper and record any disagreement — a mismatch between repo and paper is itself a finding worth reporting.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rPr>
          <w:tblHeader/>
        </w:trPr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we already know (verified)</w:t>
            </w:r>
          </w:p>
        </w:tc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Fill in from the paper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Optimizer / LR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stated in the abstract.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AdamW (β1=0.9, β2=0.95, ε=1e−8), weight decay 0.1; pre-training LR 5e−5 with cosine decay (no warm-up) to 1/10 of initial; SFT LR 5e−6, cosine decay with linear warm-up over the first 5% (Sec. 5.2, 9.1.4).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Global batch size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repo: 8 GPUs × batch 4 × grad-accum 4 = 128 (training).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pre-training ≈ 4M tokens per step; SFT batch size 128 (matches the repo).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repo: bf16 mixed precision (accelerate config).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BF16 mixed precision for pre-training; inference is deployable in float16. Matches the repo.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Parallelism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repo: DeepSpeed ZeRO stage 2 via Hugging Face Accelerate.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DeepSpeed ZeRO-3 (Section 5.2). NOTE: the repo/accelerate config uses ZeRO stage 2 — a repo-vs-paper mismatch worth flagging.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Epochs / steps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stated in the abstract.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pre-training 2 epochs (SQL data) + 1 epoch each (NL, NL-to-code); SFT 4 epochs.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 sequence length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stated in the abstract.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pre-training 8,192 (1B/3B/7B), 6,144 (15B); SFT max context 4,096.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Beam width (inference)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inside run_sft_evaluations.sh — read the script.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beam-search width 4 (4 candidates; first executable chosen).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Pre-training batch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repo: global batch of exactly 4,194,304 tokens.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value: 4,194,304 tokens (= 4M) per step — matches the repo exactly.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Datasets and Reported Results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Record the reported numbers for the exact configuration you intend to reproduce (CodeS-1B on Spider dev). </w:t>
      </w:r>
      <w:r>
        <w:rPr>
          <w:rFonts w:ascii="Calibri" w:cs="Calibri" w:eastAsia="Calibri" w:hAnsi="Calibri"/>
          <w:sz w:val="21"/>
          <w:szCs w:val="21"/>
        </w:rPr>
        <w:t xml:space="preserve">This is the figure your reproduction will be measured against under the ±5–10% tolerance, so copy it precisely and note the table and row it came from.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rPr>
          <w:tblHeader/>
        </w:trPr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we already know (verified)</w:t>
            </w:r>
          </w:p>
        </w:tc>
        <w:tc>
          <w:tcPr>
            <w:tcW w:type="dxa" w:w="30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Fill in from the paper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Benchmarks used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Spider, BIRD, Spider-DK, Spider-Syn, Spider-Realistic, Dr.Spider.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table reports Spider dev? Table 5 (SFT CodeS on Spider’s dev set); few-shot in-context results are in Table 4.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Exact-set Match (EM), Execution Accuracy (EX).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is the headline metric? Execution Accuracy (EX); the paper also reports Test-suite accuracy (TS). NOTE: CodeS does NOT report Exact-set Match (EM) for Spider — the “metrics” row above should be corrected to EX and TS.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CodeS-1B on Spider dev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TBD — must be read from the paper.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EX: 77.9   EM: not reported — the paper gives TS = 72.2 for Spider, not EM   (Table 5)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Best reported scale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claims new SOTA on nearly all benchmarks.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Scale: CodeS-7B (highest on Spider dev)  EX: 85.4  TS: 80.3 (EM not reported). Overall leading model: CodeS-15B.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Baselines compared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enumerated in the abstract.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List: fine-tuning — T5-3B+PICARD, RESDSQL-3B+NatSQL, Graphix-T5-3B+PICARD, SFT Llama2-7B/13B; prompting — GPT-4 (few-shot), C3+ChatGPT, Self-Debug+Codex, DIN-SQL+GPT-4, DAIL-SQL+GPT-4 (and +Self-Consistency), SQL-PaLM (Table 5).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Ablations in the paper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 filter is a separable component (released standalone).</w:t>
            </w:r>
          </w:p>
        </w:tc>
        <w:tc>
          <w:tcPr>
            <w:tcW w:type="dxa" w:w="30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Does the paper ablate it? Yes — Table 9 (3-shot ICL). Removing the schema filter lowers accuracy and slows generation (longer inputs): e.g. CodeS-1B Spider dev TS 57.4→55.0 (−2.4); larger drops on BIRD. Removing the value retriever also hurts, especially on BIRD.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Reproduction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Which evaluation script corresponds to the number you are targeting — run_sft_evaluations.sh or run_few_shot_evaluations.sh?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Does the reported figure use the schema filter? If yes, sic_ckpts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any hyperparameter you are forced to change (batch size, beam width, precision) and why — these become documented deviations.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authors warn that newer transformers versions shift inference results slightly. If you see a small gap, this is a legitimate cause to cite, not a defect to conceal.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Algorithm / Architecture Flowchart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Reconstructed from the paper abstract and the official repository structure. </w:t>
      </w: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Verify against Figure 1 and Section 3 of the paper and correct it before submission.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Section-by-Section Reading Log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Complete one line per section as you read. This is the evidence that the annotation was done systematically.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4500"/>
      </w:tblGrid>
      <w:tr>
        <w:trPr>
          <w:tblHeader/>
        </w:trPr>
        <w:tc>
          <w:tcPr>
            <w:tcW w:type="dxa" w:w="15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44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Main claim / contribution</w:t>
            </w:r>
          </w:p>
        </w:tc>
        <w:tc>
          <w:tcPr>
            <w:tcW w:type="dxa" w:w="4500"/>
            <w:shd w:fill="D6D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Questions or doubts raised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Introduction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Closed-source LLMs (GPT-4) dominate text-to-SQL but bring unclear architectures, data-privacy risk and high cost. Proposes CodeS — a fully open-source text-to-SQL LM family (1B–15B), 10–100× smaller yet matching or beating them. Three challenges: C1 give small models SQL reasoning via incremental pre-training; C2 schema linking via a schema filter + value retriever; C3 domain adaptation via bi-directional augmentation.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our reproduction on one GPU: is the “10–100× smaller” advantage about parameter count only, or does the cost/latency benefit still hold on a T4? We only target CodeS-1B, not the SOTA 7B/15B.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Related Work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Positions CodeS against two lines of work: SFT encoder-decoder models (RESDSQL, Graphix, PICARD) and prompting on GPT-4/PaLM (DIN-SQL, DAIL-SQL, C3). Reviews code LMs (StarCoder), schema-linking strategies and (question, SQL) data augmentation. CodeS reuses RESDSQL’s schema-filter idea but is itself a pre-trained generator, not an encoder add-on.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much of CodeS’s gain is the StarCoder base vs. the schema filter borrowed from RESDSQL? If the filter is the swing factor, our Week-7 ablation should show it clearly.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Method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components (Fig. 3): (a) incremental pre-training of StarCoder on a 21.5 GB SQL-centric corpus (Eq. 2 LM objective); (b) database-prompt construction = schema filter (top-k tables/columns) + value retriever (BM25 then LCS) + metadata (Algorithm 1); (c) bi-directional augmentation (question↔SQL via GPT-3.5). CodeS is then used via SFT (Eq. 3) or few-shot ICL with a demonstration retriever (Eq. 4).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Reproducing the database prompt needs the trained schema-item classifier (sic_ckpts) and a per-DB BM25 index — can we rebuild these or must we download the authors’ checkpoints? And how sensitive is output to prompt format (we already saw table order matters)?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Experimental Setup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Benchmarks: Spider (dev 1,034) + BIRD + four Spider variants + Dr.Spider. Metrics: EX and TS (test-suite) for the Spider family, EX/VES for BIRD. Hardware: 8× A800 80 GB, PyTorch 1.13.1, CentOS 7. SFT: 4 epochs, batch 128, LR 5e−6, context 4,096, top-k 6/10; inference = beam search with 4 candidates, first executable chosen.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authors used 8× A800 80 GB — can CodeS-1B evaluation on Spider dev fit a single free Colab T4? A reduced batch size is likely, which we must log as a documented deviation.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Results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SFT CodeS-7B and 15B set new SOTA on Spider’s dev set; SFT CodeS-3B already beats GPT-4-based DIN-SQL and DAIL-SQL (Table 5). CodeS-1B = EX 77.9 / TS 72.2. On BIRD, CodeS-15B tops the official leaderboard at submission time. Smaller models benefit most from the incremental pre-training.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Does the released seeklhy/codes-1b reproduce EX 77.9 out of the box, or is 77.9 the SFT-on-Spider checkpoint (so we must fine-tune or use their SFT weights)? Also, why is TS (72.2) noticeably below EX (77.9)?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Ablation / Analysis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9 (3-shot ICL) ablates the components: removing the schema filter lowers accuracy and slows generation (longer inputs); removing the value retriever hurts, especially on BIRD; the demonstration retriever and metadata each contribute. Robust on Spider variants (Tables 7–8). Latency 0.6–1.5 s/query vs ~60 s for DIN-SQL+GPT-4; float16 memory 10/13/20/35 GB for 1B/3B/7B/15B.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paper’s ablations are in the 3-shot ICL setting, not SFT — do the schema filter and value retriever help by the same margin under SFT, which is what we actually reproduce?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 Conclusion</w:t>
            </w:r>
          </w:p>
        </w:tc>
        <w:tc>
          <w:tcPr>
            <w:tcW w:type="dxa" w:w="44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CodeS is a fully open-source, compact text-to-SQL LM family achieving new SOTA on nearly all benchmarks while remaining cheap and locally deployable. The code, models and the SQL-centric pre-training corpus are all released to enable further research.</w:t>
            </w:r>
          </w:p>
        </w:tc>
        <w:tc>
          <w:tcPr>
            <w:tcW w:type="dxa" w:w="4500"/>
            <w:shd w:fill="FFF3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authors warn that newer transformers versions shift inference results slightly; with transformers 5.x on our stack, is a small EX gap acceptable as a documented cause rather than a reproduction failure?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Sign-off: </w:t>
      </w:r>
      <w:r>
        <w:rPr>
          <w:rFonts w:ascii="Calibri" w:cs="Calibri" w:eastAsia="Calibri" w:hAnsi="Calibri"/>
          <w:sz w:val="21"/>
          <w:szCs w:val="21"/>
        </w:rPr>
        <w:t xml:space="preserve">this worksheet, the annotated PDF and the flowchart together constitute the Week 3 deliverable. Discuss with the supervisor before the weekly report is submitted.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tose9drstvpwaakumz8a" Type="http://schemas.openxmlformats.org/officeDocument/2006/relationships/hyperlink" Target="https://arxiv.org/abs/2402.16347" TargetMode="External"/><Relationship Id="rId7" Type="http://schemas.openxmlformats.org/officeDocument/2006/relationships/image" Target="media/f7f1629d4ff077da93c4a557a79ffa87cef22a26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2026-08-14T07:24:38.472Z</dcterms:created>
  <dcterms:modified xsi:type="dcterms:W3CDTF">2026-08-14T07:24:38.475Z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