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Version 2.0  ·  Updated after the Tier-2 harness audit</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 xml:space="preserve">2320090009 — Bodupally Narendar</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Date: 26 September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This document reports the reproducibility of the CodeS text-to-SQL model for the QueryGenie project, as required for Project Review II, updated in version 2.0 with the complete Tier-2 results, a line-by-line audit of the evaluation harness, and the Week-7 ablation study. It records the target metric taken directly from the paper (CodeS-1B reaches 77.9% Execution Accuracy on the Spider development set), the environment required to reproduce it, the liveness reproduction already completed (which cleared the Week-4 gate), the faithful inference evaluation on Spider,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Summary of status: the released CodeS-1B model has been loaded, has generated valid SQL, and that SQL has executed correctly on both a CUDA GPU (Colab T4) and Apple Silicon (M4). The Tier-2 Spider evaluation was run over the full 1,034-example development set several times as the pipeline was brought closer to the authors’ code. A line-by-line audit against the authors’ repository then found that the earlier runs used a simpler scoring metric than the paper and contained a value-retriever bug. With both corrected (run T2-005), scored with the official Spider evaluator that the authors use, the reproduction reaches 77.8% Execution Accuracy against the paper’s reported 77.9% — a difference of 0.1 points, well inside the SOP’s ±5% tolerance. A four-component ablation study (Week 7) shows every part of the CodeS database prompt contributes 1.5–2.7 points.</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Spider dev Execution Accuracy (executed)</w:t>
      </w:r>
    </w:p>
    <w:p>
      <w:pPr>
        <w:spacing w:after="120" w:line="276"/>
      </w:pPr>
      <w:r>
        <w:rPr>
          <w:rFonts w:ascii="Calibri" w:cs="Calibri" w:eastAsia="Calibri" w:hAnsi="Calibri"/>
          <w:sz w:val="22"/>
          <w:szCs w:val="22"/>
        </w:rPr>
        <w:t>Tier 2 was executed as an inference-only reproduction, which does not require the authors’ CUDA-only training libraries. Using the released fine-tuned checkpoint seeklhy/codes-1b-spider, SQL was generated for every one of the 1,034 Spider development questions with beam search (4 beams, all 4 returned) and executed against the real Spider SQLite databases. Beam search is deterministic: repeating a run with an identical configuration reproduced the same 763/1034 correct predictions, so runs differ by documented configuration, not by random seed.</w:t>
      </w:r>
    </w:p>
    <w:p>
      <w:pPr>
        <w:spacing w:after="120" w:line="276"/>
      </w:pPr>
      <w:r>
        <w:rPr>
          <w:rFonts w:ascii="Calibri" w:cs="Calibri" w:eastAsia="Calibri" w:hAnsi="Calibri"/>
          <w:sz w:val="22"/>
          <w:szCs w:val="22"/>
        </w:rPr>
        <w:t>Five full-set runs were performed as the harness was brought closer to the authors’ code. Runs T2-001 to T2-003 are scored with a simple metric (sorted result rows compared as strings); run T2-005 is scored with the official Spider test-suite evaluator, which is what the paper 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Prompt</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 (%) [metric]</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vs 77.9% target</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T2-001</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 foreign keys only;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64.8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92.9%</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T2-002</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CodeS prompt;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71.7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93.5%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prompt + authors’ candidate selection</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73.8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 v2 (audit fixes)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77.8 (official) / 73.4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 within ±5%</w:t>
            </w:r>
          </w:p>
        </w:tc>
      </w:tr>
    </w:tbl>
    <w:p>
      <w:pPr>
        <w:spacing w:after="80"/>
      </w:pPr>
    </w:p>
    <w:p>
      <w:pPr>
        <w:spacing w:after="120" w:line="276"/>
      </w:pPr>
      <w:r>
        <w:rPr>
          <w:rFonts w:ascii="Calibri" w:cs="Calibri" w:eastAsia="Calibri" w:hAnsi="Calibri"/>
          <w:sz w:val="22"/>
          <w:szCs w:val="22"/>
        </w:rPr>
        <w:t>Headline result. Scored with the official evaluator, run T2-005 reaches 77.8% Execution Accuracy against the paper’s 77.9%. On the same predictions the simple metric gives 73.4%, so most of the 4-point gap reported at Review II came from the scoring metric rather than the model. Along the way two authors’ inference steps were confirmed to matter: the question-matched cell values (T2-001 → T2-002) and the authors’ candidate-selection rule, which returns all four beams and keeps the first one that passes SQLite’s EXPLAIN QUERY PLAN (T2-002 → T2-003, executable predictions 93.5% → 97.3%).</w:t>
      </w:r>
    </w:p>
    <w:p>
      <w:pPr>
        <w:pStyle w:val="Heading2"/>
        <w:spacing w:after="80" w:before="160"/>
      </w:pPr>
      <w:r>
        <w:rPr>
          <w:rFonts w:ascii="Calibri" w:cs="Calibri" w:eastAsia="Calibri" w:hAnsi="Calibri"/>
          <w:b/>
          <w:bCs/>
          <w:color w:val="2E5496"/>
          <w:sz w:val="25"/>
          <w:szCs w:val="25"/>
        </w:rPr>
        <w:t>6.1 Harness audit (26 September 2026)</w:t>
      </w:r>
    </w:p>
    <w:p>
      <w:pPr>
        <w:pStyle w:val="ListParagraph"/>
        <w:numPr>
          <w:ilvl w:val="0"/>
          <w:numId w:val="1"/>
        </w:numPr>
        <w:spacing w:after="60" w:line="276"/>
      </w:pPr>
      <w:r>
        <w:rPr>
          <w:rFonts w:ascii="Calibri" w:cs="Calibri" w:eastAsia="Calibri" w:hAnsi="Calibri"/>
          <w:sz w:val="22"/>
          <w:szCs w:val="22"/>
        </w:rPr>
        <w:t>Method: the evaluation harness was compared line by line with the authors’ load_sft_dataset.py, prepare_sft_datasets.py, build_contents_index.py, text2sql_zero_shot.py and db_utils.py; every effect below was measured on the 1,034 dev examples. Checks that passed: vendored authors’ code byte-identical to upstream; prompt assembly, decoding, candidate selection and post-processing identical; fp16 precision as the authors; deterministic repeats.</w:t>
      </w:r>
    </w:p>
    <w:p>
      <w:pPr>
        <w:pStyle w:val="ListParagraph"/>
        <w:numPr>
          <w:ilvl w:val="0"/>
          <w:numId w:val="1"/>
        </w:numPr>
        <w:spacing w:after="60" w:line="276"/>
      </w:pPr>
      <w:r>
        <w:rPr>
          <w:rFonts w:ascii="Calibri" w:cs="Calibri" w:eastAsia="Calibri" w:hAnsi="Calibri"/>
          <w:sz w:val="22"/>
          <w:szCs w:val="22"/>
        </w:rPr>
        <w:t>Discrepancy 1 — value-retriever bug (fixed): the authors index str(value) for every column, numbers included, with values over 25 characters dropped; our port kept only text values, so numbers in questions were never matched (for “students older than 20”, our prompt had no matched contents while the authors’ has student.age ( 20 )). This changed the prompt for 128 of 1,034 questions (12.4%).</w:t>
      </w:r>
    </w:p>
    <w:p>
      <w:pPr>
        <w:pStyle w:val="ListParagraph"/>
        <w:numPr>
          <w:ilvl w:val="0"/>
          <w:numId w:val="1"/>
        </w:numPr>
        <w:spacing w:after="60" w:line="276"/>
      </w:pPr>
      <w:r>
        <w:rPr>
          <w:rFonts w:ascii="Calibri" w:cs="Calibri" w:eastAsia="Calibri" w:hAnsi="Calibri"/>
          <w:sz w:val="22"/>
          <w:szCs w:val="22"/>
        </w:rPr>
        <w:t>Discrepancy 2 — scoring metric (fixed): the authors score Spider with the official test-suite evaluator (evaluation.py --etype exec), which treats row order as significant when the gold query has ORDER BY, accepts permuted columns and ignores DISTINCT. Our simple metric did the opposite on each point. The official evaluator was verified locally (gold scored against itself = 1.000) and is now run on every prediction file. Smaller fixes: column comments from tables.json (12 of 439 columns), the authors’ left-truncation (never triggered — longest prompt 1,717 tokens), and predictions are now saved so any run can be re-scored.</w:t>
      </w:r>
    </w:p>
    <w:p>
      <w:pPr>
        <w:pStyle w:val="Heading2"/>
        <w:spacing w:after="80" w:before="160"/>
      </w:pPr>
      <w:r>
        <w:rPr>
          <w:rFonts w:ascii="Calibri" w:cs="Calibri" w:eastAsia="Calibri" w:hAnsi="Calibri"/>
          <w:b/>
          <w:bCs/>
          <w:color w:val="2E5496"/>
          <w:sz w:val="25"/>
          <w:szCs w:val="25"/>
        </w:rPr>
        <w:t>6.2 Test-suite accuracy (TS)</w:t>
      </w:r>
    </w:p>
    <w:p>
      <w:pPr>
        <w:spacing w:after="120" w:line="276"/>
      </w:pPr>
      <w:r>
        <w:rPr>
          <w:rFonts w:ascii="Calibri" w:cs="Calibri" w:eastAsia="Calibri" w:hAnsi="Calibri"/>
          <w:sz w:val="22"/>
          <w:szCs w:val="22"/>
        </w:rPr>
        <w:t>The paper also reports 72.2% Test-suite accuracy. TS requires the distilled test-suite databases distributed on Google Drive, which have not yet been downloaded; our TS is therefore TBD. The saved prediction file from T2-005 can be scored for TS without re-running the model.</w:t>
      </w:r>
    </w:p>
    <w:p>
      <w:pPr>
        <w:pStyle w:val="Heading2"/>
        <w:spacing w:after="80" w:before="160"/>
      </w:pPr>
      <w:r>
        <w:rPr>
          <w:rFonts w:ascii="Calibri" w:cs="Calibri" w:eastAsia="Calibri" w:hAnsi="Calibri"/>
          <w:b/>
          <w:bCs/>
          <w:color w:val="2E5496"/>
          <w:sz w:val="25"/>
          <w:szCs w:val="25"/>
        </w:rPr>
        <w:t>6.3 Ablation study (Week 7)</w:t>
      </w:r>
    </w:p>
    <w:p>
      <w:pPr>
        <w:spacing w:after="120" w:line="276"/>
      </w:pPr>
      <w:r>
        <w:rPr>
          <w:rFonts w:ascii="Calibri" w:cs="Calibri" w:eastAsia="Calibri" w:hAnsi="Calibri"/>
          <w:sz w:val="22"/>
          <w:szCs w:val="22"/>
        </w:rPr>
        <w:t>Each component of the CodeS database prompt, and the candidate-selection rule, was disabled in turn and the full dev set re-evaluated (Colab T4, deterministic decoding). The table reports the harness-v1 measurements, scored with the simple metric against the T2-003 baseline of 73.8%; because every run shares the same harness and metric the differences are valid, and a re-measurement on harness v2 with the official metric is in progress. Every component contributes; the value retriever contributes most, and — tellingly — removing it hardly changes how many queries execute: the model still writes runnable SQL, but with wrong literal values, i.e. silently wrong answers. That failure mode is exactly what the planned confidence-aware abstention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Component removed</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 (%) [simple]</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Δ vs 73.8</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AB-003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representative column values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72.2</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97.8%</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−1.55</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AB-005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foreign-keys block</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72.2</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95.5%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−1.55</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AB-006</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selection (beam 0 only)</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71.7</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93.5%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−2.13</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AB-004</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matched contents (value retriever)</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71.1</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96.8%</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−2.71</w:t>
            </w:r>
          </w:p>
        </w:tc>
      </w:tr>
    </w:tbl>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Value retriever: distinct-value scan instead of Lucene BM25 coarse step</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Avoids Java / pyserini; Spider databases are small</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set is a superset of the authors’; fine matcher is the authors’ code, unchanged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item classifier (top-6 tables / top-10 columns) not applied</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Checkpoints hosted on rate-limited Google Drive</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schema passed; reproduced EX already within 0.1 pts, so effect appears small</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Runs T2-001–T2-003: simple metric and numeric-value retriever bug</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Found by the 26 Sep harness audit</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Fixed in harness v2 (T2-005); earlier numbers kept in the log, marked not comparable</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Next-review work: re-measure the Week-7 ablations on harness v2 with the official metric; score the saved predictions for Test-suite accuracy; evaluate CodeS-3B (paper: 83.4%) on the same harness; and write the Month-3 enhancement proposal (execution-guided self-correction and confidence-aware abstention) against the reproduced 77.8% baseline.</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To reproduce Tier 1 and the prototype: run scripts/download_spider.py to fetch Spider; open the Week-4 notebook and run the Tier-1 cells on a GPU runtime; and, for the prototype, install requirements.txt and run python src/app.py. To reproduce Tier 2: open notebooks/02_tier2_colab_eval.ipynb on a Colab T4 runtime and run the harness-v2 cell; it downloads Spider and the model, evaluates all 1,034 dev questions, scores them with the official evaluator and saves the predictions. The audit is documented in results/harness_audit.md.</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 xml:space="preserve">Dib et al. LIDA: Automatic Generation of Grammar-Agnostic Visualizations.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2"/>
        <w:spacing w:after="80" w:before="160"/>
      </w:pPr>
      <w:r>
        <w:rPr>
          <w:rFonts w:ascii="Calibri" w:cs="Calibri" w:eastAsia="Calibri" w:hAnsi="Calibri"/>
          <w:b/>
          <w:bCs/>
          <w:color w:val="2E5496"/>
          <w:sz w:val="25"/>
          <w:szCs w:val="25"/>
        </w:rPr>
        <w:t>Appendix A.1 — Tier-2 runs (full log in results/reproduction_log.csv)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026"/>
      </w:tblGrid>
      <w:tr>
        <w:trPr>
          <w:tblHeader/>
        </w:trPr>
        <w:tc>
          <w:tcPr>
            <w:tcW w:type="dxa" w:w="19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Field</w:t>
            </w:r>
          </w:p>
        </w:tc>
        <w:tc>
          <w:tcPr>
            <w:tcW w:type="dxa" w:w="4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T2-005 (headline)</w:t>
            </w:r>
          </w:p>
        </w:tc>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model</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seeklhy/codes-1b-spider (SFT)</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same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dataset</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v2 (audit fixes)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v1</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0.7780 official / 0.7340 simple</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0.7379 simple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executes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decoding</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hardware / runtime</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2865 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2111 s</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torch / transformers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2.11.0+cu128 / 5.16.1</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recorded (Colab default at the time)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vs 77.9%</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(within ±5%)</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simple metric — not comparable</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2026-08-26T14:05:23.513Z</dcterms:created>
  <dcterms:modified xsi:type="dcterms:W3CDTF">2026-08-26T14:05:23.517Z</dcterms:modified>
</cp:coreProperties>
</file>

<file path=docProps/custom.xml><?xml version="1.0" encoding="utf-8"?>
<Properties xmlns="http://schemas.openxmlformats.org/officeDocument/2006/custom-properties" xmlns:vt="http://schemas.openxmlformats.org/officeDocument/2006/docPropsVTypes"/>
</file>