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28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12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 the Week 12 comparative results table: original against enhanced, with the test statistics and the individual trials.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Quantify what abstention trades: wrong answers avoided against correct answers withheld.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Wrote the comparative results (docs/Week12_Comparative_Results.docx, results/week12_comparative_results.md). Original: 77.76% with all 1,034 questions answered and 230 wrong answers. Enhanced (the tested setting): 83.32% with 935 answered (90.4%) and 156 wrong answers. Stricter settings: 86.13% at 62.8% coverage and 88.35% at 39.8%.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Quantified the trade-off: the enhanced system declines 99 questions, 74 of which would have been answered wrongly and 25 correctly, reducing wrong answers by 32%.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Reported the full test statistics: paired t = 24.44 (df = 9, p = 7.7 x 10^-10), Wilcoxon W = 55 (the maximum, p = 9.8 x 10^-4) and the bootstrap confidence interval, together with a table of all 10 trials, which covers the SOP's five-to-ten-trial requirement.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Compared the two confidence signals head to head: execution agreement is 2.37 points higher than beam probability at about 90% coverage (paired t = 6.31, p = 1.4 x 10^-4), while beam probability is better over the whole curve; both are reported.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77.76%; enhanced system 83.32% on answered questions at 90.4% coverage (+5.56 points on the full set).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Test-suite accuracy (paper: 72.2%) is still not measured (TBD); it needs the test-suite databases from Google Drive.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and the enhancement proposal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Month 4: draft the final report (reproduction, ablation, enhancement, discussion).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 the repository and write the README with reproduction and run instructions.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the Review-3 presentation.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