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28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2320090009, 2320090018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12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 the Week 12 comparative results table: original against enhanced, with the test statistics and the individual trials.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Quantify what abstention trades: wrong answers avoided against correct answers withheld.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Wrote the comparative results (docs/Week12_Comparative_Results.docx, results/week12_comparative_results.md). Original: 77.76% with all 1,034 questions answered and 230 wrong answers. Enhanced (the tested setting): 83.32% with 935 answered (90.4%) and 156 wrong answers. Stricter settings: 86.13% at 62.8% coverage and 88.35% at 39.8%.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Quantified the trade-off: the enhanced system declines 99 questions, 74 of which would have been answered wrongly and 25 correctly, reducing wrong answers by 32%.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Reported the full test statistics: paired t = 24.44 (df = 9, p = 7.7 x 10^-10), Wilcoxon W = 55 (the maximum, p = 9.8 x 10^-4) and the bootstrap confidence interval, together with a table of all 10 trials, which covers the SOP's five-to-ten-trial requirement.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Compared the two confidence signals head to head: execution agreement is 2.37 points higher than beam probability at about 90% coverage (paired t = 6.31, p = 1.4 x 10^-4), while beam probability is better over the whole curve; both are reported.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77.76%; enhanced system 83.32% on answered questions at 90.4% coverage (+5.56 points on the full set).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Test-suite accuracy (paper: 72.2%) is still not measured (TBD); it needs the test-suite databases from Google Drive.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and the enhancement proposal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Begin Month 4: draft the final report (reproduction, ablation, enhancement, discussion).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Clean the repository and write the README with reproduction and run instructions.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 the Review-3 presentation.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