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22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7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Run the remaining two ablations (foreign keys removed; candidate selection removed).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Write up the ablation study with the contribution of each component.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Link the ablation findings to the planned enhancement.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AB-005 (foreign-keys block removed): 72.2% Execution Accuracy, 95.5% of queries executable.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AB-006 (candidate selection removed, beam 0 only): 71.7%, 93.5% executable. This reproduced run T2-002 exactly (741/1034), independently confirming that the pipeline is deterministic.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Wrote the ablation study (results/week7_ablation_study.md). Every component contributes 1.5 to 2.7 points; the value retriever contributes most.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Identified the dominant error type: without the value retriever, queries still execute (96.8%) but return wrong rows. This silent-wrong-answer failure is the target of the planned confidence-aware abstention.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Replaced an earlier estimate of the value retriever's effect (6.9 points, from runs that differed in several ways) with the clean single-component measurement.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73.8% baseline (T2-003); ablation drops of 1.5 to 2.7 points (simplified scoring metric; see Week 8).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ablation differences are small (15 to 28 questions out of 1,034) and have not yet been tested for statistical significance.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Audit the evaluation pipeline line by line against the authors' code before the reproducibility report is finalised.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Update the reproducibility report with the Tier-2 results and the ablation study.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