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534FF0" w14:textId="77777777"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482E9C27" w14:textId="77777777"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DEPARTMENT OF COMPUTER SCIENCE &amp; INFORMATION TECHNOLOGY</w:t>
      </w:r>
    </w:p>
    <w:p w14:paraId="3F296892" w14:textId="77777777"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ENHANCEMENT PROPOSAL — WEEK 9 (Month 3)</w:t>
      </w:r>
    </w:p>
    <w:p w14:paraId="329D922A" w14:textId="6BF56E07"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76FC9FAC" w14:textId="77777777" w:rsidTr="00A24753">
        <w:trPr>
          <w:trHeight w:val="593"/>
          <w:jc w:val="center"/>
        </w:trPr>
        <w:tc>
          <w:tcPr>
            <w:tcW w:w="2263" w:type="dxa"/>
          </w:tcPr>
          <w:p w14:paraId="61FD2907"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481BCE3B" w14:textId="77777777" w:rsid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QueryGenie: A Self-Correcting Natural Language to SQL Interface</w:t>
            </w:r>
          </w:p>
          <w:p w14:paraId="6DC37B5B" w14:textId="77777777" w:rsidR="00F7593F" w:rsidRDefault="00F7593F" w:rsidP="00286D28">
            <w:pPr>
              <w:jc w:val="center"/>
              <w:rPr>
                <w:rFonts w:ascii="Times New Roman" w:hAnsi="Times New Roman" w:cs="Times New Roman"/>
                <w:b/>
                <w:bCs/>
                <w:sz w:val="24"/>
                <w:szCs w:val="24"/>
              </w:rPr>
            </w:pPr>
          </w:p>
          <w:p w14:paraId="7F604EA9" w14:textId="77777777" w:rsidR="00F7593F" w:rsidRDefault="00F7593F" w:rsidP="00286D28">
            <w:pPr>
              <w:jc w:val="center"/>
              <w:rPr>
                <w:rFonts w:ascii="Times New Roman" w:hAnsi="Times New Roman" w:cs="Times New Roman"/>
                <w:b/>
                <w:bCs/>
                <w:sz w:val="24"/>
                <w:szCs w:val="24"/>
              </w:rPr>
            </w:pPr>
          </w:p>
          <w:p w14:paraId="2CB6AC4C" w14:textId="77777777" w:rsidR="00F7593F" w:rsidRPr="00286D28" w:rsidRDefault="00F7593F" w:rsidP="00286D28">
            <w:pPr>
              <w:jc w:val="center"/>
              <w:rPr>
                <w:rFonts w:ascii="Times New Roman" w:hAnsi="Times New Roman" w:cs="Times New Roman"/>
                <w:b/>
                <w:bCs/>
                <w:sz w:val="24"/>
                <w:szCs w:val="24"/>
              </w:rPr>
            </w:pPr>
          </w:p>
        </w:tc>
      </w:tr>
      <w:tr w:rsidR="00286D28" w14:paraId="3B0393A7" w14:textId="77777777" w:rsidTr="00286D28">
        <w:trPr>
          <w:jc w:val="center"/>
        </w:trPr>
        <w:tc>
          <w:tcPr>
            <w:tcW w:w="2263" w:type="dxa"/>
          </w:tcPr>
          <w:p w14:paraId="54866EF0"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445AC4C7"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93BED18"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289AA34C" w14:textId="77777777" w:rsidTr="00286D28">
        <w:trPr>
          <w:jc w:val="center"/>
        </w:trPr>
        <w:tc>
          <w:tcPr>
            <w:tcW w:w="2263" w:type="dxa"/>
          </w:tcPr>
          <w:p w14:paraId="134430A8"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A0B5F58"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2320090050</w:t>
            </w:r>
          </w:p>
        </w:tc>
        <w:tc>
          <w:tcPr>
            <w:tcW w:w="5528" w:type="dxa"/>
          </w:tcPr>
          <w:p w14:paraId="6155834A"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N V V S S Jayakanth Kamisetti</w:t>
            </w:r>
          </w:p>
        </w:tc>
      </w:tr>
      <w:tr w:rsidR="00286D28" w14:paraId="25EE2386" w14:textId="77777777" w:rsidTr="00286D28">
        <w:trPr>
          <w:jc w:val="center"/>
        </w:trPr>
        <w:tc>
          <w:tcPr>
            <w:tcW w:w="2263" w:type="dxa"/>
          </w:tcPr>
          <w:p w14:paraId="4F776649"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329BE9E5"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2320090009</w:t>
            </w:r>
          </w:p>
        </w:tc>
        <w:tc>
          <w:tcPr>
            <w:tcW w:w="5528" w:type="dxa"/>
          </w:tcPr>
          <w:p w14:paraId="2268B4D5" w14:textId="2598FBC6"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Bod</w:t>
            </w:r>
            <w:r w:rsidR="00A24753">
              <w:rPr>
                <w:rFonts w:ascii="Times New Roman" w:hAnsi="Times New Roman" w:cs="Times New Roman"/>
                <w:sz w:val="24"/>
                <w:szCs w:val="24"/>
              </w:rPr>
              <w:t>d</w:t>
            </w:r>
            <w:r>
              <w:rPr>
                <w:rFonts w:ascii="Times New Roman" w:hAnsi="Times New Roman" w:cs="Times New Roman"/>
                <w:sz w:val="24"/>
                <w:szCs w:val="24"/>
              </w:rPr>
              <w:t>upally Narendar</w:t>
            </w:r>
          </w:p>
        </w:tc>
      </w:tr>
      <w:tr w:rsidR="00295A23" w14:paraId="2C8B4C55" w14:textId="77777777" w:rsidTr="00B020C4">
        <w:trPr>
          <w:jc w:val="center"/>
        </w:trPr>
        <w:tc>
          <w:tcPr>
            <w:tcW w:w="5240" w:type="dxa"/>
            <w:gridSpan w:val="2"/>
          </w:tcPr>
          <w:p w14:paraId="1E0900E4" w14:textId="77777777"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5A73EE56" w14:textId="77777777"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M Parameswar</w:t>
            </w:r>
          </w:p>
        </w:tc>
      </w:tr>
    </w:tbl>
    <w:p w14:paraId="76FC32B7" w14:textId="77777777" w:rsidR="00FE49E5" w:rsidRDefault="00FE49E5" w:rsidP="00FE49E5">
      <w:pPr>
        <w:ind w:firstLine="720"/>
        <w:rPr>
          <w:rFonts w:ascii="Times New Roman" w:hAnsi="Times New Roman" w:cs="Times New Roman"/>
          <w:sz w:val="28"/>
          <w:szCs w:val="28"/>
        </w:rPr>
      </w:pPr>
    </w:p>
    <w:p w14:paraId="44328E84" w14:textId="77777777" w:rsidR="00286D28" w:rsidRPr="00F7593F" w:rsidRDefault="00286D28" w:rsidP="00286D28">
      <w:pPr>
        <w:ind w:firstLine="720"/>
        <w:jc w:val="center"/>
        <w:rPr>
          <w:rFonts w:ascii="Times New Roman" w:hAnsi="Times New Roman" w:cs="Times New Roman"/>
          <w:b/>
          <w:bCs/>
          <w:sz w:val="28"/>
          <w:szCs w:val="28"/>
        </w:rPr>
      </w:pPr>
      <w:r>
        <w:rPr>
          <w:rFonts w:ascii="Times New Roman" w:hAnsi="Times New Roman" w:cs="Times New Roman"/>
          <w:b/>
          <w:bCs/>
          <w:sz w:val="28"/>
          <w:szCs w:val="28"/>
        </w:rPr>
        <w:t>Enhancement: Confidence-Aware Abstention for CodeS</w:t>
      </w:r>
    </w:p>
    <w:p w14:paraId="62923757" w14:textId="77777777" w:rsidR="0033184B" w:rsidRDefault="00000000">
      <w:pPr>
        <w:spacing w:after="60" w:before="0" w:line="240" w:lineRule="auto"/>
        <w:ind w:firstLine="720"/>
        <w:jc w:val="both"/>
        <w:rPr>
          <w:rFonts w:ascii="Times New Roman" w:hAnsi="Times New Roman" w:cs="Times New Roman"/>
          <w:sz w:val="24"/>
          <w:szCs w:val="24"/>
        </w:rPr>
      </w:pPr>
      <w:r>
        <w:rPr>
          <w:rFonts w:ascii="Times New Roman" w:hAnsi="Times New Roman" w:cs="Times New Roman"/>
          <w:b/>
          <w:sz w:val="20"/>
          <w:szCs w:val="24"/>
        </w:rPr>
        <w:t xml:space="preserve">Tier and choice. </w:t>
      </w:r>
      <w:r>
        <w:rPr>
          <w:rFonts w:ascii="Times New Roman" w:hAnsi="Times New Roman" w:cs="Times New Roman"/>
          <w:sz w:val="20"/>
          <w:szCs w:val="24"/>
        </w:rPr>
        <w:t>Tier 4 (novel combination): execution-agreement confidence and selective answering (abstention) added to the reproduced CodeS-1B pipeline. Tier 4 is justified because the original code ran at the Week-4 gate and the reproduction is complete: 77.8% Execution Accuracy with the official Spider evaluator against the paper’s 77.9% (run T2-005).</w:t>
      </w:r>
    </w:p>
    <w:p w14:paraId="1E61F932" w14:textId="77777777" w:rsidR="0033184B" w:rsidRDefault="00000000">
      <w:pPr>
        <w:spacing w:after="60" w:before="0" w:line="240" w:lineRule="auto"/>
        <w:ind w:firstLine="720"/>
        <w:jc w:val="both"/>
        <w:rPr>
          <w:rFonts w:ascii="Times New Roman" w:hAnsi="Times New Roman" w:cs="Times New Roman"/>
          <w:sz w:val="24"/>
          <w:szCs w:val="24"/>
        </w:rPr>
      </w:pPr>
      <w:r>
        <w:rPr>
          <w:rFonts w:ascii="Times New Roman" w:hAnsi="Times New Roman" w:cs="Times New Roman"/>
          <w:b/>
          <w:sz w:val="20"/>
          <w:szCs w:val="24"/>
        </w:rPr>
        <w:t xml:space="preserve">Why this and not self-correction. </w:t>
      </w:r>
      <w:r>
        <w:rPr>
          <w:rFonts w:ascii="Times New Roman" w:hAnsi="Times New Roman" w:cs="Times New Roman"/>
          <w:sz w:val="20"/>
          <w:szCs w:val="24"/>
        </w:rPr>
        <w:t>The Week-1 abstract named execution-guided self-correction as the enhancement. Measurements since then show that 97.3% of the baseline’s predictions already execute, so repairing failed queries can recover at most 2.7 points and is unlikely to give a significant gain. The Week-7 ablation shows where the errors actually are: queries that run but return the wrong rows (removing the value retriever cost 1.9 points while 97.2% of queries still executed). Self-correction and the chart layer remain features of the application; they are not the graded enhancement.</w:t>
      </w:r>
    </w:p>
    <w:p w14:paraId="2FA1BEEB" w14:textId="77777777" w:rsidR="0033184B" w:rsidRDefault="00000000">
      <w:pPr>
        <w:spacing w:after="60" w:before="0" w:line="240" w:lineRule="auto"/>
        <w:ind w:firstLine="720"/>
        <w:jc w:val="both"/>
        <w:rPr>
          <w:rFonts w:ascii="Times New Roman" w:hAnsi="Times New Roman" w:cs="Times New Roman"/>
          <w:sz w:val="24"/>
          <w:szCs w:val="24"/>
        </w:rPr>
      </w:pPr>
      <w:r>
        <w:rPr>
          <w:rFonts w:ascii="Times New Roman" w:hAnsi="Times New Roman" w:cs="Times New Roman"/>
          <w:b/>
          <w:sz w:val="20"/>
          <w:szCs w:val="24"/>
        </w:rPr>
        <w:t xml:space="preserve">Problem. </w:t>
      </w:r>
      <w:r>
        <w:rPr>
          <w:rFonts w:ascii="Times New Roman" w:hAnsi="Times New Roman" w:cs="Times New Roman"/>
          <w:sz w:val="20"/>
          <w:szCs w:val="24"/>
        </w:rPr>
        <w:t>CodeS answers every question with the same apparent confidence. At 77.8% accuracy, roughly one answer in five is wrong and the user cannot tell which. The paper reports accuracy only when every question is answered.</w:t>
      </w:r>
    </w:p>
    <w:p w14:paraId="6B260959" w14:textId="77777777" w:rsidR="0033184B" w:rsidRDefault="00000000">
      <w:pPr>
        <w:spacing w:after="60" w:before="0" w:line="240" w:lineRule="auto"/>
        <w:ind w:firstLine="720"/>
        <w:jc w:val="both"/>
        <w:rPr>
          <w:rFonts w:ascii="Times New Roman" w:hAnsi="Times New Roman" w:cs="Times New Roman"/>
          <w:sz w:val="24"/>
          <w:szCs w:val="24"/>
        </w:rPr>
      </w:pPr>
      <w:r>
        <w:rPr>
          <w:rFonts w:ascii="Times New Roman" w:hAnsi="Times New Roman" w:cs="Times New Roman"/>
          <w:b/>
          <w:sz w:val="20"/>
          <w:szCs w:val="24"/>
        </w:rPr>
        <w:t xml:space="preserve">Method. </w:t>
      </w:r>
      <w:r>
        <w:rPr>
          <w:rFonts w:ascii="Times New Roman" w:hAnsi="Times New Roman" w:cs="Times New Roman"/>
          <w:sz w:val="20"/>
          <w:szCs w:val="24"/>
        </w:rPr>
        <w:t>The pipeline already produces 4 beam candidates per question. Each candidate is executed, and the confidence of the returned answer is the fraction of executable candidates whose result matches it (execution agreement), with the beam log-probability margin as a secondary signal. Below a threshold τ the system abstains and asks a clarifying question built from the disagreeing candidates’ results instead of answering. No retraining is needed; the added cost is executing up to 4 queries per question.</w:t>
      </w:r>
    </w:p>
    <w:p w14:paraId="2D417C37" w14:textId="77777777" w:rsidR="0033184B" w:rsidRDefault="00000000">
      <w:pPr>
        <w:spacing w:after="60" w:before="0" w:line="240" w:lineRule="auto"/>
        <w:jc w:val="both"/>
        <w:rPr>
          <w:rFonts w:ascii="Times New Roman" w:hAnsi="Times New Roman" w:cs="Times New Roman"/>
          <w:sz w:val="24"/>
          <w:szCs w:val="24"/>
        </w:rPr>
      </w:pPr>
      <w:r>
        <w:rPr>
          <w:rFonts w:ascii="Times New Roman" w:hAnsi="Times New Roman" w:cs="Times New Roman"/>
          <w:b/>
          <w:sz w:val="20"/>
          <w:szCs w:val="24"/>
        </w:rPr>
        <w:t xml:space="preserve">Hypothesis. </w:t>
      </w:r>
      <w:r>
        <w:rPr>
          <w:rFonts w:ascii="Times New Roman" w:hAnsi="Times New Roman" w:cs="Times New Roman"/>
          <w:sz w:val="20"/>
          <w:szCs w:val="24"/>
        </w:rPr>
        <w:t>H1: at the same coverage, Execution Accuracy on answered questions is higher with agreement-based abstention than with random abstention, and higher than the 77.8% baseline. H0: no difference.</w:t>
      </w:r>
    </w:p>
    <w:p w14:paraId="62923757" w14:textId="77777777" w:rsidR="0033184B" w:rsidRDefault="00000000">
      <w:pPr>
        <w:spacing w:after="60" w:before="0" w:line="240" w:lineRule="auto"/>
        <w:ind w:firstLine="720"/>
        <w:jc w:val="both"/>
        <w:rPr>
          <w:rFonts w:ascii="Times New Roman" w:hAnsi="Times New Roman" w:cs="Times New Roman"/>
          <w:sz w:val="24"/>
          <w:szCs w:val="24"/>
        </w:rPr>
      </w:pPr>
      <w:r>
        <w:rPr>
          <w:rFonts w:ascii="Times New Roman" w:hAnsi="Times New Roman" w:cs="Times New Roman"/>
          <w:b/>
          <w:sz w:val="20"/>
          <w:szCs w:val="24"/>
        </w:rPr>
        <w:t xml:space="preserve">Evaluation. </w:t>
      </w:r>
      <w:r>
        <w:rPr>
          <w:rFonts w:ascii="Times New Roman" w:hAnsi="Times New Roman" w:cs="Times New Roman"/>
          <w:sz w:val="20"/>
          <w:szCs w:val="24"/>
        </w:rPr>
        <w:t>Spider dev (1,034 questions), official evaluator, CodeS-1B on the audited harness. Outputs: the accuracy–coverage curve, the area under the risk–coverage curve, and accuracy at the chosen threshold, always reported with its coverage. To avoid tuning on test data, the dev set is split at random into halves 10 times; τ is chosen on one half for at least 90% coverage and evaluated on the other. The 10 paired differences (agreement vs random abstention at equal coverage) are tested with a paired t-test and a Wilcoxon signed-rank test (α = 0.05).</w:t>
      </w:r>
    </w:p>
    <w:p w14:paraId="62923757" w14:textId="77777777" w:rsidR="0033184B" w:rsidRDefault="00000000">
      <w:pPr>
        <w:spacing w:after="60" w:before="0" w:line="240" w:lineRule="auto"/>
        <w:ind w:firstLine="720"/>
        <w:jc w:val="both"/>
        <w:rPr>
          <w:rFonts w:ascii="Times New Roman" w:hAnsi="Times New Roman" w:cs="Times New Roman"/>
          <w:sz w:val="24"/>
          <w:szCs w:val="24"/>
        </w:rPr>
      </w:pPr>
      <w:r>
        <w:rPr>
          <w:rFonts w:ascii="Times New Roman" w:hAnsi="Times New Roman" w:cs="Times New Roman"/>
          <w:b/>
          <w:sz w:val="20"/>
          <w:szCs w:val="24"/>
        </w:rPr>
        <w:t xml:space="preserve">Plan and risk. </w:t>
      </w:r>
      <w:r>
        <w:rPr>
          <w:rFonts w:ascii="Times New Roman" w:hAnsi="Times New Roman" w:cs="Times New Roman"/>
          <w:sz w:val="20"/>
          <w:szCs w:val="24"/>
        </w:rPr>
        <w:t>Week 10: fresh baseline on our hardware (Colab T4). Week 11: save all candidates and scores, implement the confidence score and abstention, log failed attempts. Week 12: comparison table and significance tests. Risk: candidates can agree on the same wrong answer; mitigation: test the beam-score margin and sampled candidates as alternative signals. If no significant gain is found, it is reported as a negative result with its analysis, as the SOP permits (“improvement or learning”).</w:t>
      </w:r>
    </w:p>
    <w:p w14:paraId="0FB3E68B" w14:textId="77777777" w:rsidR="00ED0F3F" w:rsidRDefault="00ED0F3F" w:rsidP="00F7593F">
      <w:pPr>
        <w:rPr>
          <w:rFonts w:ascii="Times New Roman" w:hAnsi="Times New Roman" w:cs="Times New Roman"/>
          <w:sz w:val="28"/>
          <w:szCs w:val="28"/>
        </w:rPr>
      </w:pPr>
    </w:p>
    <w:p w14:paraId="776CCA03" w14:textId="76570BEB" w:rsidR="00F7593F" w:rsidRPr="00ED0F3F" w:rsidRDefault="00F7593F" w:rsidP="00ED0F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ED0F3F" w:rsidSect="00FE49E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7E4EBC" w14:textId="77777777" w:rsidR="00ED17DC" w:rsidRDefault="00ED17DC" w:rsidP="00A24753">
      <w:pPr>
        <w:spacing w:after="0" w:line="240" w:lineRule="auto"/>
      </w:pPr>
      <w:r>
        <w:separator/>
      </w:r>
    </w:p>
  </w:endnote>
  <w:endnote w:type="continuationSeparator" w:id="0">
    <w:p w14:paraId="344B7728" w14:textId="77777777" w:rsidR="00ED17DC" w:rsidRDefault="00ED17DC" w:rsidP="00A24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2E955A" w14:textId="77777777" w:rsidR="00ED17DC" w:rsidRDefault="00ED17DC" w:rsidP="00A24753">
      <w:pPr>
        <w:spacing w:after="0" w:line="240" w:lineRule="auto"/>
      </w:pPr>
      <w:r>
        <w:separator/>
      </w:r>
    </w:p>
  </w:footnote>
  <w:footnote w:type="continuationSeparator" w:id="0">
    <w:p w14:paraId="77E8C408" w14:textId="77777777" w:rsidR="00ED17DC" w:rsidRDefault="00ED17DC" w:rsidP="00A24753">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8685A"/>
    <w:rsid w:val="000B1D65"/>
    <w:rsid w:val="00286D28"/>
    <w:rsid w:val="00295A23"/>
    <w:rsid w:val="0033184B"/>
    <w:rsid w:val="003930F3"/>
    <w:rsid w:val="00437974"/>
    <w:rsid w:val="00472328"/>
    <w:rsid w:val="005C2430"/>
    <w:rsid w:val="00624436"/>
    <w:rsid w:val="00A24753"/>
    <w:rsid w:val="00C40746"/>
    <w:rsid w:val="00EB0BCB"/>
    <w:rsid w:val="00EB798D"/>
    <w:rsid w:val="00ED0F3F"/>
    <w:rsid w:val="00ED17DC"/>
    <w:rsid w:val="00F32DEF"/>
    <w:rsid w:val="00F46AD8"/>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74DC"/>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47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753"/>
  </w:style>
  <w:style w:type="paragraph" w:styleId="Footer">
    <w:name w:val="footer"/>
    <w:basedOn w:val="Normal"/>
    <w:link w:val="FooterChar"/>
    <w:uiPriority w:val="99"/>
    <w:unhideWhenUsed/>
    <w:rsid w:val="00A247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N V V S S JAYAKANTH KAMISETTI .</cp:lastModifiedBy>
  <cp:revision>5</cp:revision>
  <cp:lastPrinted>2026-08-05T02:56:00Z</cp:lastPrinted>
  <dcterms:created xsi:type="dcterms:W3CDTF">2026-08-04T05:06:00Z</dcterms:created>
  <dcterms:modified xsi:type="dcterms:W3CDTF">2026-08-05T02:57:00Z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