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1F3864"/>
          <w:sz w:val="56"/>
          <w:szCs w:val="56"/>
        </w:rPr>
        <w:t xml:space="preserve">QueryGenie</w:t>
      </w:r>
    </w:p>
    <w:p>
      <w:pPr>
        <w:spacing w:after="240"/>
        <w:jc w:val="center"/>
      </w:pPr>
      <w:r>
        <w:rPr>
          <w:rFonts w:ascii="Calibri" w:cs="Calibri" w:eastAsia="Calibri" w:hAnsi="Calibri"/>
          <w:i/>
          <w:iCs/>
          <w:color w:val="2E5496"/>
          <w:sz w:val="28"/>
          <w:szCs w:val="28"/>
        </w:rPr>
        <w:t xml:space="preserve">A Self-Correcting Natural Language to SQL Interface</w:t>
      </w:r>
    </w:p>
    <w:p>
      <w:pPr>
        <w:spacing w:after="80"/>
        <w:jc w:val="center"/>
      </w:pPr>
      <w:r>
        <w:rPr>
          <w:rFonts w:ascii="Calibri" w:cs="Calibri" w:eastAsia="Calibri" w:hAnsi="Calibri"/>
          <w:b/>
          <w:bCs/>
          <w:sz w:val="36"/>
          <w:szCs w:val="36"/>
        </w:rPr>
        <w:t xml:space="preserve">Code Reproducibility Report</w:t>
      </w:r>
    </w:p>
    <w:p>
      <w:pPr>
        <w:spacing w:after="480"/>
        <w:jc w:val="center"/>
      </w:pPr>
      <w:r>
        <w:rPr>
          <w:rFonts w:ascii="Calibri" w:cs="Calibri" w:eastAsia="Calibri" w:hAnsi="Calibri"/>
          <w:color w:val="555555"/>
          <w:sz w:val="24"/>
          <w:szCs w:val="24"/>
        </w:rPr>
        <w:t xml:space="preserve">Version 1.0  ·  Project Review II</w:t>
      </w:r>
    </w:p>
    <w:p>
      <w:pPr>
        <w:spacing w:after="40" w:line="276"/>
        <w:jc w:val="center"/>
      </w:pPr>
      <w:r>
        <w:rPr>
          <w:rFonts w:ascii="Calibri" w:cs="Calibri" w:eastAsia="Calibri" w:hAnsi="Calibri"/>
          <w:b/>
          <w:bCs/>
          <w:sz w:val="22"/>
          <w:szCs w:val="22"/>
        </w:rPr>
        <w:t xml:space="preserve">Team 21</w:t>
      </w:r>
    </w:p>
    <w:p>
      <w:pPr>
        <w:spacing w:after="20" w:line="276"/>
        <w:jc w:val="center"/>
      </w:pPr>
      <w:r>
        <w:rPr>
          <w:rFonts w:ascii="Calibri" w:cs="Calibri" w:eastAsia="Calibri" w:hAnsi="Calibri"/>
          <w:sz w:val="22"/>
          <w:szCs w:val="22"/>
        </w:rPr>
        <w:t xml:space="preserve">2320090050 — N V V S S Jayakanth Kamisetti</w:t>
      </w:r>
    </w:p>
    <w:p>
      <w:pPr>
        <w:spacing w:after="240" w:line="276"/>
        <w:jc w:val="center"/>
      </w:pPr>
      <w:r>
        <w:rPr>
          <w:rFonts w:ascii="Calibri" w:cs="Calibri" w:eastAsia="Calibri" w:hAnsi="Calibri"/>
          <w:sz w:val="22"/>
          <w:szCs w:val="22"/>
        </w:rPr>
        <w:t xml:space="preserve">2320090009 — Bodupally Narendar</w:t>
      </w:r>
    </w:p>
    <w:p>
      <w:pPr>
        <w:spacing w:after="40" w:line="276"/>
        <w:jc w:val="center"/>
      </w:pPr>
      <w:r>
        <w:rPr>
          <w:rFonts w:ascii="Calibri" w:cs="Calibri" w:eastAsia="Calibri" w:hAnsi="Calibri"/>
          <w:sz w:val="22"/>
          <w:szCs w:val="22"/>
        </w:rPr>
        <w:t xml:space="preserve">Supervisor: M Parameswar</w:t>
      </w:r>
    </w:p>
    <w:p>
      <w:pPr>
        <w:spacing w:after="20" w:line="276"/>
        <w:jc w:val="center"/>
      </w:pPr>
      <w:r>
        <w:rPr>
          <w:rFonts w:ascii="Calibri" w:cs="Calibri" w:eastAsia="Calibri" w:hAnsi="Calibri"/>
          <w:sz w:val="22"/>
          <w:szCs w:val="22"/>
        </w:rPr>
        <w:t xml:space="preserve">Department of Computer Science &amp; Information Technology</w:t>
      </w:r>
    </w:p>
    <w:p>
      <w:pPr>
        <w:spacing w:after="240" w:line="276"/>
        <w:jc w:val="center"/>
      </w:pPr>
      <w:r>
        <w:rPr>
          <w:rFonts w:ascii="Calibri" w:cs="Calibri" w:eastAsia="Calibri" w:hAnsi="Calibri"/>
          <w:sz w:val="22"/>
          <w:szCs w:val="22"/>
        </w:rPr>
        <w:t xml:space="preserve">Koneru Lakshmaiah Education Foundation (KL University)</w:t>
      </w:r>
    </w:p>
    <w:p>
      <w:pPr>
        <w:spacing w:after="20" w:line="276"/>
        <w:jc w:val="center"/>
      </w:pPr>
      <w:r>
        <w:rPr>
          <w:rFonts w:ascii="Calibri" w:cs="Calibri" w:eastAsia="Calibri" w:hAnsi="Calibri"/>
          <w:i/>
          <w:iCs/>
          <w:sz w:val="20"/>
          <w:szCs w:val="20"/>
        </w:rPr>
        <w:t xml:space="preserve">Anchor paper: CodeS — Towards Building Open-source Language Models for Text-to-SQL (SIGMOD 2024), arXiv:2402.16347</w:t>
      </w:r>
    </w:p>
    <w:p>
      <w:pPr>
        <w:spacing w:after="0" w:line="276"/>
        <w:jc w:val="center"/>
      </w:pPr>
      <w:r>
        <w:rPr>
          <w:rFonts w:ascii="Calibri" w:cs="Calibri" w:eastAsia="Calibri" w:hAnsi="Calibri"/>
          <w:color w:val="555555"/>
          <w:sz w:val="20"/>
          <w:szCs w:val="20"/>
        </w:rPr>
        <w:t xml:space="preserve">Date: 29 August 2026</w:t>
      </w:r>
    </w:p>
    <w:p>
      <w:r>
        <w:br w:type="page"/>
      </w:r>
    </w:p>
    <w:p>
      <w:pPr>
        <w:spacing w:after="16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Calibri" w:cs="Calibri" w:eastAsia="Calibri" w:hAnsi="Calibri"/>
          <w:b/>
          <w:bCs/>
          <w:color w:val="1F3864"/>
          <w:sz w:val="30"/>
          <w:szCs w:val="30"/>
        </w:rPr>
        <w:t xml:space="preserve">Executive Summary</w:t>
      </w:r>
    </w:p>
    <w:p>
      <w:pPr>
        <w:spacing w:after="120" w:line="276"/>
      </w:pPr>
      <w:r>
        <w:rPr>
          <w:rFonts w:ascii="Calibri" w:cs="Calibri" w:eastAsia="Calibri" w:hAnsi="Calibri"/>
          <w:sz w:val="22"/>
          <w:szCs w:val="22"/>
        </w:rPr>
        <w:t xml:space="preserve">This document reports the reproducibility of the CodeS text-to-SQL model for the QueryGenie project, as required for Project Review II. It records the target metric taken directly from the paper (CodeS-1B reaches 77.9% Execution Accuracy on the Spider development set), the environment required to reproduce it, the liveness reproduction already completed (which cleared the Week-4 gate), the plan for the faithful evaluation, every deviation made so far, and the working prototype built on top of the reproduced model. All numbers are taken from the paper or from executed runs; no value is estimated. Where a figure is not yet measured it is marked TBD and listed as outstanding work for the next review.</w:t>
      </w:r>
    </w:p>
    <w:p>
      <w:pPr>
        <w:spacing w:after="120" w:line="276"/>
      </w:pPr>
      <w:r>
        <w:rPr>
          <w:rFonts w:ascii="Calibri" w:cs="Calibri" w:eastAsia="Calibri" w:hAnsi="Calibri"/>
          <w:sz w:val="22"/>
          <w:szCs w:val="22"/>
        </w:rPr>
        <w:t xml:space="preserve">Summary of status: the released CodeS-1B model has been loaded, has generated valid SQL, and that SQL has executed correctly on both a CUDA GPU (Colab T4) and Apple Silicon (M4). A full local application has been implemented that reproduces the CodeS inference pipeline and adds execution-guided self-correction. The Tier-2 Spider evaluation has been run over the full 1,034-example development set: with a schema-only prompt it reached 64.8% Execution Accuracy, and with the authors’ full database prompt (schema + representative values + question-matched values) it reached 71.7% — within the SOP’s ±10% tolerance of the reported 77.9% (about 8% relative). The reproduction is therefore successful, and the difference between the two runs isolates the value retriever as the decisive component.</w:t>
      </w:r>
    </w:p>
    <w:p>
      <w:pPr>
        <w:pStyle w:val="Heading1"/>
        <w:spacing w:after="120" w:before="240"/>
      </w:pPr>
      <w:r>
        <w:rPr>
          <w:rFonts w:ascii="Calibri" w:cs="Calibri" w:eastAsia="Calibri" w:hAnsi="Calibri"/>
          <w:b/>
          <w:bCs/>
          <w:color w:val="1F3864"/>
          <w:sz w:val="30"/>
          <w:szCs w:val="30"/>
        </w:rPr>
        <w:t xml:space="preserve">1. Introduction and Scope</w:t>
      </w:r>
    </w:p>
    <w:p>
      <w:pPr>
        <w:spacing w:after="120" w:line="276"/>
      </w:pPr>
      <w:r>
        <w:rPr>
          <w:rFonts w:ascii="Calibri" w:cs="Calibri" w:eastAsia="Calibri" w:hAnsi="Calibri"/>
          <w:sz w:val="22"/>
          <w:szCs w:val="22"/>
        </w:rPr>
        <w:t xml:space="preserve">This report documents the reproducibility of the anchor paper CodeS (SIGMOD 2024) for the QueryGenie project. Under the department Standard Operating Procedure, a reproduction is considered successful when the measured metric falls within ±5–10% of the value reported in the paper, or when any larger deviation is documented together with a specific stated cause. Fabricating, estimating or guessing a metric is an academic-misconduct offence; wherever a value is not yet known it is recorded here as “TBD” and identified as outstanding.</w:t>
      </w:r>
    </w:p>
    <w:p>
      <w:pPr>
        <w:spacing w:after="120" w:line="276"/>
      </w:pPr>
      <w:r>
        <w:rPr>
          <w:rFonts w:ascii="Calibri" w:cs="Calibri" w:eastAsia="Calibri" w:hAnsi="Calibri"/>
          <w:sz w:val="22"/>
          <w:szCs w:val="22"/>
        </w:rPr>
        <w:t xml:space="preserve">Reproduction scope. CodeS involves an expensive incremental pre-training stage conducted by the authors on eight A800 80 GB GPUs. Re-running that pre-training is out of scope for a Phase-I reproduction. This project instead reproduces the publicly released model checkpoints and the inference and evaluation pipeline of CodeS on the Spider benchmark. The specific configuration targeted for the graded reproduction is CodeS-1B on the Spider development set.</w:t>
      </w:r>
    </w:p>
    <w:p>
      <w:pPr>
        <w:spacing w:after="120" w:line="276"/>
      </w:pPr>
      <w:r>
        <w:rPr>
          <w:rFonts w:ascii="Calibri" w:cs="Calibri" w:eastAsia="Calibri" w:hAnsi="Calibri"/>
          <w:sz w:val="22"/>
          <w:szCs w:val="22"/>
        </w:rPr>
        <w:t xml:space="preserve">Two-tier strategy. Reproduction is split into two tiers so that the rejection-level Week-4 gate could be cleared quickly while the faithful evaluation is prepared:</w:t>
      </w:r>
    </w:p>
    <w:p>
      <w:pPr>
        <w:pStyle w:val="ListParagraph"/>
        <w:numPr>
          <w:ilvl w:val="0"/>
          <w:numId w:val="1"/>
        </w:numPr>
        <w:spacing w:after="60" w:line="276"/>
      </w:pPr>
      <w:r>
        <w:rPr>
          <w:rFonts w:ascii="Calibri" w:cs="Calibri" w:eastAsia="Calibri" w:hAnsi="Calibri"/>
          <w:sz w:val="22"/>
          <w:szCs w:val="22"/>
        </w:rPr>
        <w:t xml:space="preserve">Tier 1 (liveness): confirm that the released CodeS model loads, generates SQL from a schema and a question, and that the generated SQL executes. This satisfies the Week-4 requirement that the original code runs.</w:t>
      </w:r>
    </w:p>
    <w:p>
      <w:pPr>
        <w:pStyle w:val="ListParagraph"/>
        <w:numPr>
          <w:ilvl w:val="0"/>
          <w:numId w:val="1"/>
        </w:numPr>
        <w:spacing w:after="60" w:line="276"/>
      </w:pPr>
      <w:r>
        <w:rPr>
          <w:rFonts w:ascii="Calibri" w:cs="Calibri" w:eastAsia="Calibri" w:hAnsi="Calibri"/>
          <w:sz w:val="22"/>
          <w:szCs w:val="22"/>
        </w:rPr>
        <w:t xml:space="preserve">Tier 2 (faithful): recreate the authors’ pinned environment and run their evaluation scripts on Spider to obtain Execution Accuracy (EX) and Test-suite accuracy (TS).</w:t>
      </w:r>
    </w:p>
    <w:p>
      <w:pPr>
        <w:pStyle w:val="Heading1"/>
        <w:spacing w:after="120" w:before="240"/>
      </w:pPr>
      <w:r>
        <w:rPr>
          <w:rFonts w:ascii="Calibri" w:cs="Calibri" w:eastAsia="Calibri" w:hAnsi="Calibri"/>
          <w:b/>
          <w:bCs/>
          <w:color w:val="1F3864"/>
          <w:sz w:val="30"/>
          <w:szCs w:val="30"/>
        </w:rPr>
        <w:t xml:space="preserve">2. Anchor Paper Summary (CodeS)</w:t>
      </w:r>
    </w:p>
    <w:p>
      <w:pPr>
        <w:spacing w:after="120" w:line="276"/>
      </w:pPr>
      <w:r>
        <w:rPr>
          <w:rFonts w:ascii="Calibri" w:cs="Calibri" w:eastAsia="Calibri" w:hAnsi="Calibri"/>
          <w:sz w:val="22"/>
          <w:szCs w:val="22"/>
        </w:rPr>
        <w:t xml:space="preserve">CodeS is a family of fully open-source text-to-SQL language models at 1B, 3B, 7B and 15B parameters, built on the StarCoder code language model and incrementally pre-trained on a 21.5 GB SQL-centric corpus (11 GB SQL-related, 6 GB NL-to-code and 4.5 GB NL data). The method has three components: (a) incremental pre-training; (b) database prompt construction, comprising a schema item classifier that prunes tables and columns, a value retriever that matches database cell values using a BM25 index followed by longest-common-substring matching, and additional metadata such as column types, comments, representative values and primary/foreign keys; and (c) a bi-directional data augmentation technique for adapting to new database domains. The model is then used either through supervised fine-tuning (SFT) or few-shot in-context learning.</w:t>
      </w:r>
    </w:p>
    <w:p>
      <w:pPr>
        <w:spacing w:after="120" w:line="276"/>
      </w:pPr>
      <w:r>
        <w:rPr>
          <w:rFonts w:ascii="Calibri" w:cs="Calibri" w:eastAsia="Calibri" w:hAnsi="Calibri"/>
          <w:sz w:val="22"/>
          <w:szCs w:val="22"/>
        </w:rPr>
        <w:t xml:space="preserve">Key equations recorded during annotation: Equation (1) defines the task as S = Parser(Q, D); Equation (2) is the autoregressive language-modelling objective for incremental pre-training; Equation (3) is the SFT loss; and Equation (4) is the sentence-similarity score used to retrieve demonstrations for few-shot inference. The base checkpoints are StarCoderBase-1B/3B/7B for CodeS-1B/3B/7B, and StarCoder-15B for CodeS-15B.</w:t>
      </w:r>
    </w:p>
    <w:p>
      <w:pPr>
        <w:pStyle w:val="Heading2"/>
        <w:spacing w:after="80" w:before="160"/>
      </w:pPr>
      <w:r>
        <w:rPr>
          <w:rFonts w:ascii="Calibri" w:cs="Calibri" w:eastAsia="Calibri" w:hAnsi="Calibri"/>
          <w:b/>
          <w:bCs/>
          <w:color w:val="2E5496"/>
          <w:sz w:val="25"/>
          <w:szCs w:val="25"/>
        </w:rPr>
        <w:t xml:space="preserve">2.1 Incremental pre-training</w:t>
      </w:r>
    </w:p>
    <w:p>
      <w:pPr>
        <w:spacing w:after="120" w:line="276"/>
      </w:pPr>
      <w:r>
        <w:rPr>
          <w:rFonts w:ascii="Calibri" w:cs="Calibri" w:eastAsia="Calibri" w:hAnsi="Calibri"/>
          <w:sz w:val="22"/>
          <w:szCs w:val="22"/>
        </w:rPr>
        <w:t xml:space="preserve">CodeS is obtained by incrementally pre-training StarCoder on the SQL-centric corpus for two epochs on the SQL-related data and one epoch each on the natural-language and NL-to-code data. The paper reports the AdamW optimiser (β1 = 0.9, β2 = 0.95, ε = 1e−8) with a weight decay of 0.1, a learning rate of 5e−5 following a cosine decay without warm-up to one tenth of its initial value, gradient clipping at 1.0, a large batch of roughly four million tokens, BF16 mixed precision, and the DeepSpeed ZeRO-3 framework with FlashAttention-2. The maximum context length is 8,192 tokens for the 1B/3B/7B models and 6,144 for the 15B model. Pre-training took approximately 1.5, 3, 8 and 16 days for the four sizes respectively. This stage is not reproduced in this project; it is summarised here to define precisely what the released checkpoints already contain.</w:t>
      </w:r>
    </w:p>
    <w:p>
      <w:pPr>
        <w:pStyle w:val="Heading2"/>
        <w:spacing w:after="80" w:before="160"/>
      </w:pPr>
      <w:r>
        <w:rPr>
          <w:rFonts w:ascii="Calibri" w:cs="Calibri" w:eastAsia="Calibri" w:hAnsi="Calibri"/>
          <w:b/>
          <w:bCs/>
          <w:color w:val="2E5496"/>
          <w:sz w:val="25"/>
          <w:szCs w:val="25"/>
        </w:rPr>
        <w:t xml:space="preserve">2.2 Database prompt construction</w:t>
      </w:r>
    </w:p>
    <w:p>
      <w:pPr>
        <w:spacing w:after="120" w:line="276"/>
      </w:pPr>
      <w:r>
        <w:rPr>
          <w:rFonts w:ascii="Calibri" w:cs="Calibri" w:eastAsia="Calibri" w:hAnsi="Calibri"/>
          <w:sz w:val="22"/>
          <w:szCs w:val="22"/>
        </w:rPr>
        <w:t xml:space="preserve">At inference time CodeS builds a database prompt in three parts. A schema item classifier — a compact neural network trained separately, following RESDSQL — scores every table and column for relevance to the question and retains only the top-k tables and top-k columns, keeping the prompt within the context window. A value retriever then matches database cell values to the question using a BM25 index (built with Lucene / pyserini) for a fast coarse search, refined by a longest-common-substring match, and inserts the matched values into the prompt. Finally, metadata is added: column data types, natural-language comments, representative column values, and the primary- and foreign-key relations. The paper presents this as Algorithm 1.</w:t>
      </w:r>
    </w:p>
    <w:p>
      <w:pPr>
        <w:pStyle w:val="Heading2"/>
        <w:spacing w:after="80" w:before="160"/>
      </w:pPr>
      <w:r>
        <w:rPr>
          <w:rFonts w:ascii="Calibri" w:cs="Calibri" w:eastAsia="Calibri" w:hAnsi="Calibri"/>
          <w:b/>
          <w:bCs/>
          <w:color w:val="2E5496"/>
          <w:sz w:val="25"/>
          <w:szCs w:val="25"/>
        </w:rPr>
        <w:t xml:space="preserve">2.3 Bi-directional data augmentation</w:t>
      </w:r>
    </w:p>
    <w:p>
      <w:pPr>
        <w:spacing w:after="120" w:line="276"/>
      </w:pPr>
      <w:r>
        <w:rPr>
          <w:rFonts w:ascii="Calibri" w:cs="Calibri" w:eastAsia="Calibri" w:hAnsi="Calibri"/>
          <w:sz w:val="22"/>
          <w:szCs w:val="22"/>
        </w:rPr>
        <w:t xml:space="preserve">To adapt to a new database domain with little labelled data, CodeS generates synthetic (question, SQL) pairs in two directions using GPT-3.5: a question-to-SQL direction that starts from a few real user questions and annotates their SQL, and a SQL-to-question direction that fills SQL templates with the new schema and rewrites them into natural questions. This is the mechanism most relevant to the QueryGenie product idea of adapting the model to a customer database.</w:t>
      </w:r>
    </w:p>
    <w:p>
      <w:pPr>
        <w:pStyle w:val="Heading2"/>
        <w:spacing w:after="80" w:before="160"/>
      </w:pPr>
      <w:r>
        <w:rPr>
          <w:rFonts w:ascii="Calibri" w:cs="Calibri" w:eastAsia="Calibri" w:hAnsi="Calibri"/>
          <w:b/>
          <w:bCs/>
          <w:color w:val="2E5496"/>
          <w:sz w:val="25"/>
          <w:szCs w:val="25"/>
        </w:rPr>
        <w:t xml:space="preserve">2.4 Usage: SFT and few-shot</w:t>
      </w:r>
    </w:p>
    <w:p>
      <w:pPr>
        <w:spacing w:after="120" w:line="276"/>
      </w:pPr>
      <w:r>
        <w:rPr>
          <w:rFonts w:ascii="Calibri" w:cs="Calibri" w:eastAsia="Calibri" w:hAnsi="Calibri"/>
          <w:sz w:val="22"/>
          <w:szCs w:val="22"/>
        </w:rPr>
        <w:t xml:space="preserve">CodeS is used either by supervised fine-tuning on the target benchmark or by few-shot in-context learning with a demonstration retriever based on SimCSE sentence similarity. The reported SFT settings are four epochs, a batch size of 128, a learning rate of 5e−6 with cosine decay and a linear warm-up over the first 5% of training, a maximum context of 4,096 tokens, and top-k values of 6 tables and 10 columns. For inference the repository uses beam search producing four candidate queries and selects the first one that executes. The reproduction target in this report is the SFT setting for CodeS-1B on Spider.</w:t>
      </w:r>
    </w:p>
    <w:p>
      <w:pPr>
        <w:pStyle w:val="Heading1"/>
        <w:spacing w:after="120" w:before="240"/>
      </w:pPr>
      <w:r>
        <w:rPr>
          <w:rFonts w:ascii="Calibri" w:cs="Calibri" w:eastAsia="Calibri" w:hAnsi="Calibri"/>
          <w:b/>
          <w:bCs/>
          <w:color w:val="1F3864"/>
          <w:sz w:val="30"/>
          <w:szCs w:val="30"/>
        </w:rPr>
        <w:t xml:space="preserve">3. Reproduction Target and Metrics</w:t>
      </w:r>
    </w:p>
    <w:p>
      <w:pPr>
        <w:spacing w:after="120" w:line="276"/>
      </w:pPr>
      <w:r>
        <w:rPr>
          <w:rFonts w:ascii="Calibri" w:cs="Calibri" w:eastAsia="Calibri" w:hAnsi="Calibri"/>
          <w:sz w:val="22"/>
          <w:szCs w:val="22"/>
        </w:rPr>
        <w:t xml:space="preserve">Metrics. For the Spider family of benchmarks CodeS reports Execution Accuracy (EX) and Test-suite accuracy (TS). It is important to note that CodeS does not report Exact-set Match (EM) for Spider; the reproduction therefore measures EX (and TS where possible), not EM.</w:t>
      </w:r>
    </w:p>
    <w:p>
      <w:pPr>
        <w:spacing w:after="120" w:line="276"/>
      </w:pPr>
      <w:r>
        <w:rPr>
          <w:rFonts w:ascii="Calibri" w:cs="Calibri" w:eastAsia="Calibri" w:hAnsi="Calibri"/>
          <w:sz w:val="22"/>
          <w:szCs w:val="22"/>
        </w:rPr>
        <w:t xml:space="preserve">Target values, read directly from Table 5 of the paper for the SFT setting: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2250"/>
        <w:gridCol w:w="2250"/>
      </w:tblGrid>
      <w:tr>
        <w:trPr>
          <w:tblHeader/>
        </w:trPr>
        <w:tc>
          <w:tcPr>
            <w:tcW w:type="dxa" w:w="45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Model (SFT, Spider dev)</w:t>
            </w:r>
          </w:p>
        </w:tc>
        <w:tc>
          <w:tcPr>
            <w:tcW w:type="dxa" w:w="225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EX (%)</w:t>
            </w:r>
          </w:p>
        </w:tc>
        <w:tc>
          <w:tcPr>
            <w:tcW w:type="dxa" w:w="225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TS (%)</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CodeS-1B (our target)</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77.9</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72.2</w:t>
            </w:r>
          </w:p>
        </w:tc>
      </w:tr>
      <w:tr>
        <w:tc>
          <w:tcPr>
            <w:tcW w:type="dxa" w:w="4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CodeS-3B</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83.4</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78.1</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CodeS-7B (best on Spider dev)</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85.4</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80.3</w:t>
            </w:r>
          </w:p>
        </w:tc>
      </w:tr>
      <w:tr>
        <w:tc>
          <w:tcPr>
            <w:tcW w:type="dxa" w:w="4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CodeS-15B</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84.9</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79.4</w:t>
            </w:r>
          </w:p>
        </w:tc>
      </w:tr>
    </w:tbl>
    <w:p>
      <w:pPr>
        <w:spacing w:after="80"/>
      </w:pPr>
    </w:p>
    <w:p>
      <w:pPr>
        <w:spacing w:after="120" w:line="276"/>
      </w:pPr>
      <w:r>
        <w:rPr>
          <w:rFonts w:ascii="Calibri" w:cs="Calibri" w:eastAsia="Calibri" w:hAnsi="Calibri"/>
          <w:sz w:val="22"/>
          <w:szCs w:val="22"/>
        </w:rPr>
        <w:t xml:space="preserve">Tolerance band. Relative to the target EX of 77.9%, the SOP tolerance gives an acceptable reproduced range of approximately 74.0–81.8% at ±5% and 70.1–85.7% at ±10%. A reproduced EX inside this band, or outside it with a documented cause, satisfies the reproduction requirement.</w:t>
      </w:r>
    </w:p>
    <w:p>
      <w:pPr>
        <w:pStyle w:val="Heading2"/>
        <w:spacing w:after="80" w:before="160"/>
      </w:pPr>
      <w:r>
        <w:rPr>
          <w:rFonts w:ascii="Calibri" w:cs="Calibri" w:eastAsia="Calibri" w:hAnsi="Calibri"/>
          <w:b/>
          <w:bCs/>
          <w:color w:val="2E5496"/>
          <w:sz w:val="25"/>
          <w:szCs w:val="25"/>
        </w:rPr>
        <w:t xml:space="preserve">3.1 How EX and TS are computed</w:t>
      </w:r>
    </w:p>
    <w:p>
      <w:pPr>
        <w:spacing w:after="120" w:line="276"/>
      </w:pPr>
      <w:r>
        <w:rPr>
          <w:rFonts w:ascii="Calibri" w:cs="Calibri" w:eastAsia="Calibri" w:hAnsi="Calibri"/>
          <w:sz w:val="22"/>
          <w:szCs w:val="22"/>
        </w:rPr>
        <w:t xml:space="preserve">Execution Accuracy (EX) compares the execution result of the predicted SQL against the execution result of the gold SQL on the database: a prediction is correct if it returns the same result. EX can occasionally give a false positive when an incorrect query coincidentally returns the same output. Test-suite accuracy (TS) addresses this by requiring the predicted query to return the correct result across multiple automatically generated database instances, and is therefore the more trustworthy metric; TS is always less than or equal to EX, which is consistent with the paper’s reported 72.2% TS against 77.9% EX for CodeS-1B. The reproduction will report both where the evaluation script provides them.</w:t>
      </w:r>
    </w:p>
    <w:p>
      <w:pPr>
        <w:pStyle w:val="Heading2"/>
        <w:spacing w:after="80" w:before="160"/>
      </w:pPr>
      <w:r>
        <w:rPr>
          <w:rFonts w:ascii="Calibri" w:cs="Calibri" w:eastAsia="Calibri" w:hAnsi="Calibri"/>
          <w:b/>
          <w:bCs/>
          <w:color w:val="2E5496"/>
          <w:sz w:val="25"/>
          <w:szCs w:val="25"/>
        </w:rPr>
        <w:t xml:space="preserve">3.2 Baselines the paper compares against (Spider dev)</w:t>
      </w:r>
    </w:p>
    <w:p>
      <w:pPr>
        <w:spacing w:after="120" w:line="276"/>
      </w:pPr>
      <w:r>
        <w:rPr>
          <w:rFonts w:ascii="Calibri" w:cs="Calibri" w:eastAsia="Calibri" w:hAnsi="Calibri"/>
          <w:sz w:val="22"/>
          <w:szCs w:val="22"/>
        </w:rPr>
        <w:t xml:space="preserve">For context, the paper compares CodeS against the following methods on the Spider development set (EX / TS). This is useful for the review because it shows that even the small CodeS models are competitive with GPT-4-based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2250"/>
        <w:gridCol w:w="2250"/>
      </w:tblGrid>
      <w:tr>
        <w:trPr>
          <w:tblHeader/>
        </w:trPr>
        <w:tc>
          <w:tcPr>
            <w:tcW w:type="dxa" w:w="45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Method</w:t>
            </w:r>
          </w:p>
        </w:tc>
        <w:tc>
          <w:tcPr>
            <w:tcW w:type="dxa" w:w="225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EX (%)</w:t>
            </w:r>
          </w:p>
        </w:tc>
        <w:tc>
          <w:tcPr>
            <w:tcW w:type="dxa" w:w="225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TS (%)</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T5-3B + PICARD</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79.3</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69.4</w:t>
            </w:r>
          </w:p>
        </w:tc>
      </w:tr>
      <w:tr>
        <w:tc>
          <w:tcPr>
            <w:tcW w:type="dxa" w:w="4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RESDSQL-3B + NatSQL</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84.1</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73.5</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Graphix-T5-3B + PICARD</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81.0</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75.0</w:t>
            </w:r>
          </w:p>
        </w:tc>
      </w:tr>
      <w:tr>
        <w:tc>
          <w:tcPr>
            <w:tcW w:type="dxa" w:w="4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GPT-4 (few-shot)</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76.8</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67.4</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DIN-SQL + GPT-4</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82.8</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74.2</w:t>
            </w:r>
          </w:p>
        </w:tc>
      </w:tr>
      <w:tr>
        <w:tc>
          <w:tcPr>
            <w:tcW w:type="dxa" w:w="4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DAIL-SQL + GPT-4</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83.1</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76.6</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SFT CodeS-3B (ours to reproduce later)</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83.4</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78.1</w:t>
            </w:r>
          </w:p>
        </w:tc>
      </w:tr>
    </w:tbl>
    <w:p>
      <w:pPr>
        <w:spacing w:after="80"/>
      </w:pPr>
    </w:p>
    <w:p>
      <w:pPr>
        <w:spacing w:after="120" w:line="276"/>
      </w:pPr>
      <w:r>
        <w:rPr>
          <w:rFonts w:ascii="Calibri" w:cs="Calibri" w:eastAsia="Calibri" w:hAnsi="Calibri"/>
          <w:sz w:val="22"/>
          <w:szCs w:val="22"/>
        </w:rPr>
        <w:t xml:space="preserve">Notably, the paper reports that the fine-tuned CodeS-3B already outperforms the GPT-4-based DIN-SQL and DAIL-SQL systems on Spider’s development set, despite being far smaller — the central claim this reproduction ultimately tests.</w:t>
      </w:r>
    </w:p>
    <w:p>
      <w:pPr>
        <w:pStyle w:val="Heading1"/>
        <w:spacing w:after="120" w:before="240"/>
      </w:pPr>
      <w:r>
        <w:rPr>
          <w:rFonts w:ascii="Calibri" w:cs="Calibri" w:eastAsia="Calibri" w:hAnsi="Calibri"/>
          <w:b/>
          <w:bCs/>
          <w:color w:val="1F3864"/>
          <w:sz w:val="30"/>
          <w:szCs w:val="30"/>
        </w:rPr>
        <w:t xml:space="preserve">4. Environment and Setup</w:t>
      </w:r>
    </w:p>
    <w:p>
      <w:pPr>
        <w:pStyle w:val="Heading2"/>
        <w:spacing w:after="80" w:before="160"/>
      </w:pPr>
      <w:r>
        <w:rPr>
          <w:rFonts w:ascii="Calibri" w:cs="Calibri" w:eastAsia="Calibri" w:hAnsi="Calibri"/>
          <w:b/>
          <w:bCs/>
          <w:color w:val="2E5496"/>
          <w:sz w:val="25"/>
          <w:szCs w:val="25"/>
        </w:rPr>
        <w:t xml:space="preserve">4.1 Environments actually used (Tier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3250"/>
        <w:gridCol w:w="3250"/>
      </w:tblGrid>
      <w:tr>
        <w:trPr>
          <w:tblHeader/>
        </w:trPr>
        <w:tc>
          <w:tcPr>
            <w:tcW w:type="dxa" w:w="25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Component</w:t>
            </w:r>
          </w:p>
        </w:tc>
        <w:tc>
          <w:tcPr>
            <w:tcW w:type="dxa" w:w="325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Google Colab (gate run)</w:t>
            </w:r>
          </w:p>
        </w:tc>
        <w:tc>
          <w:tcPr>
            <w:tcW w:type="dxa" w:w="325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Local Mac (prototype)</w:t>
            </w:r>
          </w:p>
        </w:tc>
      </w:tr>
      <w:tr>
        <w:tc>
          <w:tcPr>
            <w:tcW w:type="dxa" w:w="2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Hardware</w:t>
            </w:r>
          </w:p>
        </w:tc>
        <w:tc>
          <w:tcPr>
            <w:tcW w:type="dxa" w:w="3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NVIDIA Tesla T4, 14.6 GB</w:t>
            </w:r>
          </w:p>
        </w:tc>
        <w:tc>
          <w:tcPr>
            <w:tcW w:type="dxa" w:w="3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Apple M4, 16 GB, MPS</w:t>
            </w:r>
          </w:p>
        </w:tc>
      </w:tr>
      <w:tr>
        <w:tc>
          <w:tcPr>
            <w:tcW w:type="dxa" w:w="2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Python</w:t>
            </w:r>
          </w:p>
        </w:tc>
        <w:tc>
          <w:tcPr>
            <w:tcW w:type="dxa" w:w="3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3.12.13</w:t>
            </w:r>
          </w:p>
        </w:tc>
        <w:tc>
          <w:tcPr>
            <w:tcW w:type="dxa" w:w="3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3.13</w:t>
            </w:r>
          </w:p>
        </w:tc>
      </w:tr>
      <w:tr>
        <w:tc>
          <w:tcPr>
            <w:tcW w:type="dxa" w:w="2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PyTorch</w:t>
            </w:r>
          </w:p>
        </w:tc>
        <w:tc>
          <w:tcPr>
            <w:tcW w:type="dxa" w:w="3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2.11.0+cu128</w:t>
            </w:r>
          </w:p>
        </w:tc>
        <w:tc>
          <w:tcPr>
            <w:tcW w:type="dxa" w:w="3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2.13 (MPS)</w:t>
            </w:r>
          </w:p>
        </w:tc>
      </w:tr>
      <w:tr>
        <w:tc>
          <w:tcPr>
            <w:tcW w:type="dxa" w:w="2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transformers</w:t>
            </w:r>
          </w:p>
        </w:tc>
        <w:tc>
          <w:tcPr>
            <w:tcW w:type="dxa" w:w="3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5.15.0</w:t>
            </w:r>
          </w:p>
        </w:tc>
        <w:tc>
          <w:tcPr>
            <w:tcW w:type="dxa" w:w="3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5.15.0</w:t>
            </w:r>
          </w:p>
        </w:tc>
      </w:tr>
      <w:tr>
        <w:tc>
          <w:tcPr>
            <w:tcW w:type="dxa" w:w="2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Model</w:t>
            </w:r>
          </w:p>
        </w:tc>
        <w:tc>
          <w:tcPr>
            <w:tcW w:type="dxa" w:w="3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seeklhy/codes-1b</w:t>
            </w:r>
          </w:p>
        </w:tc>
        <w:tc>
          <w:tcPr>
            <w:tcW w:type="dxa" w:w="3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codes-1b / 3b / 3b-spider / 7b-spider</w:t>
            </w:r>
          </w:p>
        </w:tc>
      </w:tr>
    </w:tbl>
    <w:p>
      <w:pPr>
        <w:spacing w:after="80"/>
      </w:pPr>
    </w:p>
    <w:p>
      <w:pPr>
        <w:pStyle w:val="Heading2"/>
        <w:spacing w:after="80" w:before="160"/>
      </w:pPr>
      <w:r>
        <w:rPr>
          <w:rFonts w:ascii="Calibri" w:cs="Calibri" w:eastAsia="Calibri" w:hAnsi="Calibri"/>
          <w:b/>
          <w:bCs/>
          <w:color w:val="2E5496"/>
          <w:sz w:val="25"/>
          <w:szCs w:val="25"/>
        </w:rPr>
        <w:t xml:space="preserve">4.2 Environment required for the faithful run (Tier 2)</w:t>
      </w:r>
    </w:p>
    <w:p>
      <w:pPr>
        <w:spacing w:after="120" w:line="276"/>
      </w:pPr>
      <w:r>
        <w:rPr>
          <w:rFonts w:ascii="Calibri" w:cs="Calibri" w:eastAsia="Calibri" w:hAnsi="Calibri"/>
          <w:sz w:val="22"/>
          <w:szCs w:val="22"/>
        </w:rPr>
        <w:t xml:space="preserve">The official repository pins an older stack that will not build under current Python. The faithful reproduction therefore requires an isolated environment, summarised below, and must be run on a CUDA GPU because several dependencies are CUDA-only.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Requirement</w:t>
            </w:r>
          </w:p>
        </w:tc>
        <w:tc>
          <w:tcPr>
            <w:tcW w:type="dxa" w:w="60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Value / note</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Python</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3.8.5 (isolated env, e.g. via conda)</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PyTorch</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1.13.1</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transformers</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4.28.1</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scipy</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1.5.4</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pyserini</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0.21.0 (needs Java 11)</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SimCSE</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installed from the lihaoyang-ruc fork, not PyPI</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Assets</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data.zip, sic_ckpts.zip, test_suite_sql_eval.zip (Google Drive)</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CUDA-only</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bitsandbytes, deepspeed — cannot run on Apple Silicon</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Authors’ hardware</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 × A800 80 GB (we reduce scale to codes-1b and batch size)</w:t>
            </w:r>
          </w:p>
        </w:tc>
      </w:tr>
    </w:tbl>
    <w:p>
      <w:pPr>
        <w:pStyle w:val="Heading1"/>
        <w:spacing w:after="120" w:before="240"/>
      </w:pPr>
      <w:r>
        <w:rPr>
          <w:rFonts w:ascii="Calibri" w:cs="Calibri" w:eastAsia="Calibri" w:hAnsi="Calibri"/>
          <w:b/>
          <w:bCs/>
          <w:color w:val="1F3864"/>
          <w:sz w:val="30"/>
          <w:szCs w:val="30"/>
        </w:rPr>
        <w:t xml:space="preserve">5. Tier 1 — Liveness Reproduction (executed)</w:t>
      </w:r>
    </w:p>
    <w:p>
      <w:pPr>
        <w:spacing w:after="120" w:line="276"/>
      </w:pPr>
      <w:r>
        <w:rPr>
          <w:rFonts w:ascii="Calibri" w:cs="Calibri" w:eastAsia="Calibri" w:hAnsi="Calibri"/>
          <w:sz w:val="22"/>
          <w:szCs w:val="22"/>
        </w:rPr>
        <w:t xml:space="preserve">Tier 1 was executed successfully on 14 August 2026 on a Google Colab T4 GPU, clearing the Week-4 red-flag gate. The released seeklhy/codes-1b checkpoint was loaded, a prompt was constructed from a small student/result schema and the natural-language question “Which students failed more than two subjects? A subject is failed if marks are below 40.”, and SQL was generated with beam search (four beams) and executed against an in-memory SQLite database.</w:t>
      </w:r>
    </w:p>
    <w:p>
      <w:pPr>
        <w:spacing w:after="120" w:line="276"/>
      </w:pPr>
      <w:r>
        <w:rPr>
          <w:rFonts w:ascii="Calibri" w:cs="Calibri" w:eastAsia="Calibri" w:hAnsi="Calibri"/>
          <w:sz w:val="22"/>
          <w:szCs w:val="22"/>
        </w:rPr>
        <w:t xml:space="preserve">The model loaded (1.14 B parameters) and produced the following query in 61.9 s:</w:t>
      </w:r>
    </w:p>
    <w:p>
      <w:pPr>
        <w:spacing w:after="120" w:line="276"/>
      </w:pPr>
      <w:r>
        <w:rPr>
          <w:rFonts w:ascii="Calibri" w:cs="Calibri" w:eastAsia="Calibri" w:hAnsi="Calibri"/>
          <w:sz w:val="20"/>
          <w:szCs w:val="20"/>
        </w:rPr>
        <w:t xml:space="preserve">SELECT name FROM student WHERE student_id IN (SELECT student_id FROM result WHERE marks &lt; 40 GROUP BY student_id HAVING COUNT(subject) &gt; 2)</w:t>
      </w:r>
    </w:p>
    <w:p>
      <w:pPr>
        <w:spacing w:after="120" w:line="276"/>
      </w:pPr>
      <w:r>
        <w:rPr>
          <w:rFonts w:ascii="Calibri" w:cs="Calibri" w:eastAsia="Calibri" w:hAnsi="Calibri"/>
          <w:sz w:val="22"/>
          <w:szCs w:val="22"/>
        </w:rPr>
        <w:t xml:space="preserve">The query executed without error and returned the correct answer (the single student with more than two failing subjects). The run is recorded as T1-001 in results/reproduction_log.csv with its seed, runtime, hardware and library versions. The same pipeline has also been reproduced locally on the Apple M4 through the QueryGenie prototype, confirming the released model runs on both CUDA and Apple-Silicon hardware.</w:t>
      </w:r>
    </w:p>
    <w:p>
      <w:pPr>
        <w:spacing w:after="120" w:line="276"/>
      </w:pPr>
      <w:r>
        <w:rPr>
          <w:rFonts w:ascii="Calibri" w:cs="Calibri" w:eastAsia="Calibri" w:hAnsi="Calibri"/>
          <w:sz w:val="22"/>
          <w:szCs w:val="22"/>
        </w:rPr>
        <w:t xml:space="preserve">This is explicitly a liveness check, not a faithful reproduction: it uses a current transformers release rather than the pinned 4.28.1, and a simplified prompt rather than the paper’s full database prompt. Both facts are recorded as deviations in Section 7.</w:t>
      </w:r>
    </w:p>
    <w:p>
      <w:pPr>
        <w:pStyle w:val="Heading1"/>
        <w:spacing w:after="120" w:before="240"/>
      </w:pPr>
      <w:r>
        <w:rPr>
          <w:rFonts w:ascii="Calibri" w:cs="Calibri" w:eastAsia="Calibri" w:hAnsi="Calibri"/>
          <w:b/>
          <w:bCs/>
          <w:color w:val="1F3864"/>
          <w:sz w:val="30"/>
          <w:szCs w:val="30"/>
        </w:rPr>
        <w:t xml:space="preserve">6. Tier 2 — Spider dev Execution Accuracy (executed)</w:t>
      </w:r>
    </w:p>
    <w:p>
      <w:pPr>
        <w:spacing w:after="120" w:line="276"/>
      </w:pPr>
      <w:r>
        <w:rPr>
          <w:rFonts w:ascii="Calibri" w:cs="Calibri" w:eastAsia="Calibri" w:hAnsi="Calibri"/>
          <w:sz w:val="22"/>
          <w:szCs w:val="22"/>
        </w:rPr>
        <w:t xml:space="preserve">Tier 2 was executed as an inference-only reproduction, which does not require the authors’ CUDA-only training libraries. Using the released fine-tuned checkpoint seeklhy/codes-1b-spider, SQL was generated for every one of the 1,034 Spider development questions with beam search (4 beams) and executed against the real Spider SQLite databases; a prediction is counted correct when its result set matches the gold query’s result set (Execution Accuracy).</w:t>
      </w:r>
    </w:p>
    <w:p>
      <w:pPr>
        <w:spacing w:after="120" w:line="276"/>
      </w:pPr>
      <w:r>
        <w:rPr>
          <w:rFonts w:ascii="Calibri" w:cs="Calibri" w:eastAsia="Calibri" w:hAnsi="Calibri"/>
          <w:sz w:val="22"/>
          <w:szCs w:val="22"/>
        </w:rPr>
        <w:t xml:space="preserve">Two runs were performed over the full 1,034-example development set, differing only in the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26"/>
        <w:gridCol w:w="1200"/>
        <w:gridCol w:w="1200"/>
        <w:gridCol w:w="1500"/>
      </w:tblGrid>
      <w:tr>
        <w:trPr>
          <w:tblHeader/>
        </w:trPr>
        <w:tc>
          <w:tcPr>
            <w:tcW w:type="dxa" w:w="15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Run</w:t>
            </w:r>
          </w:p>
        </w:tc>
        <w:tc>
          <w:tcPr>
            <w:tcW w:type="dxa" w:w="36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Prompt</w:t>
            </w:r>
          </w:p>
        </w:tc>
        <w:tc>
          <w:tcPr>
            <w:tcW w:type="dxa" w:w="12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EX (%)</w:t>
            </w:r>
          </w:p>
        </w:tc>
        <w:tc>
          <w:tcPr>
            <w:tcW w:type="dxa" w:w="12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Executes</w:t>
            </w:r>
          </w:p>
        </w:tc>
        <w:tc>
          <w:tcPr>
            <w:tcW w:type="dxa" w:w="15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vs 77.9% target</w:t>
            </w:r>
          </w:p>
        </w:tc>
      </w:tr>
      <w:tr>
        <w:tc>
          <w:tcPr>
            <w:tcW w:type="dxa" w:w="15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T2-001</w:t>
            </w:r>
          </w:p>
        </w:tc>
        <w:tc>
          <w:tcPr>
            <w:tcW w:type="dxa" w:w="36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schema + foreign keys only</w:t>
            </w:r>
          </w:p>
        </w:tc>
        <w:tc>
          <w:tcPr>
            <w:tcW w:type="dxa" w:w="12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64.8</w:t>
            </w:r>
          </w:p>
        </w:tc>
        <w:tc>
          <w:tcPr>
            <w:tcW w:type="dxa" w:w="12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92.9%</w:t>
            </w:r>
          </w:p>
        </w:tc>
        <w:tc>
          <w:tcPr>
            <w:tcW w:type="dxa" w:w="15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outside ±10%</w:t>
            </w:r>
          </w:p>
        </w:tc>
      </w:tr>
      <w:tr>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T2-002</w:t>
            </w:r>
          </w:p>
        </w:tc>
        <w:tc>
          <w:tcPr>
            <w:tcW w:type="dxa" w:w="36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full CodeS prompt (schema + values + matched contents)</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71.7</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93.5%</w:t>
            </w:r>
          </w:p>
        </w:tc>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within ±10% (~8% rel.)</w:t>
            </w:r>
          </w:p>
        </w:tc>
      </w:tr>
    </w:tbl>
    <w:p>
      <w:pPr>
        <w:spacing w:after="80"/>
      </w:pPr>
    </w:p>
    <w:p>
      <w:pPr>
        <w:spacing w:after="120" w:line="276"/>
      </w:pPr>
      <w:r>
        <w:rPr>
          <w:rFonts w:ascii="Calibri" w:cs="Calibri" w:eastAsia="Calibri" w:hAnsi="Calibri"/>
          <w:sz w:val="22"/>
          <w:szCs w:val="22"/>
        </w:rPr>
        <w:t xml:space="preserve">The reproduction target of 77.9% is met within the SOP’s ±10% tolerance by run T2-002 (71.7%). The 6.9-point jump from T2-001 to T2-002 isolates the value retriever as the decisive component: the seeklhy/codes-1b-spider checkpoint was fine-tuned on prompts that include cell values matched to the question, so supplying them restores the context the model expects (especially for WHERE predicates).</w:t>
      </w:r>
    </w:p>
    <w:p>
      <w:pPr>
        <w:pStyle w:val="Heading2"/>
        <w:spacing w:after="80" w:before="160"/>
      </w:pPr>
      <w:r>
        <w:rPr>
          <w:rFonts w:ascii="Calibri" w:cs="Calibri" w:eastAsia="Calibri" w:hAnsi="Calibri"/>
          <w:b/>
          <w:bCs/>
          <w:color w:val="2E5496"/>
          <w:sz w:val="25"/>
          <w:szCs w:val="25"/>
        </w:rPr>
        <w:t xml:space="preserve">6.1 Documented causes of the residual ~8% difference</w:t>
      </w:r>
    </w:p>
    <w:p>
      <w:pPr>
        <w:pStyle w:val="ListParagraph"/>
        <w:numPr>
          <w:ilvl w:val="0"/>
          <w:numId w:val="1"/>
        </w:numPr>
        <w:spacing w:after="60" w:line="276"/>
      </w:pPr>
      <w:r>
        <w:rPr>
          <w:rFonts w:ascii="Calibri" w:cs="Calibri" w:eastAsia="Calibri" w:hAnsi="Calibri"/>
          <w:sz w:val="22"/>
          <w:szCs w:val="22"/>
        </w:rPr>
        <w:t xml:space="preserve">Value retriever: we approximate the authors’ Lucene BM25 coarse step with a direct distinct-value scan, then apply their exact fine matcher (get_matched_entries, score ≥ 0.9). Coverage is close but not identical.</w:t>
      </w:r>
    </w:p>
    <w:p>
      <w:pPr>
        <w:pStyle w:val="ListParagraph"/>
        <w:numPr>
          <w:ilvl w:val="0"/>
          <w:numId w:val="1"/>
        </w:numPr>
        <w:spacing w:after="60" w:line="276"/>
      </w:pPr>
      <w:r>
        <w:rPr>
          <w:rFonts w:ascii="Calibri" w:cs="Calibri" w:eastAsia="Calibri" w:hAnsi="Calibri"/>
          <w:sz w:val="22"/>
          <w:szCs w:val="22"/>
        </w:rPr>
        <w:t xml:space="preserve">Metric: Execution Accuracy is computed by result-set comparison rather than the official Spider test-suite script, which can differ on ordering and duplicate handling.</w:t>
      </w:r>
    </w:p>
    <w:p>
      <w:pPr>
        <w:pStyle w:val="ListParagraph"/>
        <w:numPr>
          <w:ilvl w:val="0"/>
          <w:numId w:val="1"/>
        </w:numPr>
        <w:spacing w:after="60" w:line="276"/>
      </w:pPr>
      <w:r>
        <w:rPr>
          <w:rFonts w:ascii="Calibri" w:cs="Calibri" w:eastAsia="Calibri" w:hAnsi="Calibri"/>
          <w:sz w:val="22"/>
          <w:szCs w:val="22"/>
        </w:rPr>
        <w:t xml:space="preserve">Schema filter: we pass the full schema rather than the learned top-k schema-item classifier (acceptable on Spider’s small databases).</w:t>
      </w:r>
    </w:p>
    <w:p>
      <w:pPr>
        <w:pStyle w:val="Heading2"/>
        <w:spacing w:after="80" w:before="160"/>
      </w:pPr>
      <w:r>
        <w:rPr>
          <w:rFonts w:ascii="Calibri" w:cs="Calibri" w:eastAsia="Calibri" w:hAnsi="Calibri"/>
          <w:b/>
          <w:bCs/>
          <w:color w:val="2E5496"/>
          <w:sz w:val="25"/>
          <w:szCs w:val="25"/>
        </w:rPr>
        <w:t xml:space="preserve">6.2 Remaining runs</w:t>
      </w:r>
    </w:p>
    <w:p>
      <w:pPr>
        <w:spacing w:after="120" w:line="276"/>
      </w:pPr>
      <w:r>
        <w:rPr>
          <w:rFonts w:ascii="Calibri" w:cs="Calibri" w:eastAsia="Calibri" w:hAnsi="Calibri"/>
          <w:sz w:val="22"/>
          <w:szCs w:val="22"/>
        </w:rPr>
        <w:t xml:space="preserve">Two further logged runs will complete the three-run Week-5 requirement, and the official test-suite script will be adopted for TS. Beam search is deterministic, so runs vary by documented configuration rather than random seed.</w:t>
      </w:r>
    </w:p>
    <w:p>
      <w:pPr>
        <w:pStyle w:val="Heading2"/>
        <w:spacing w:after="80" w:before="160"/>
      </w:pPr>
      <w:r>
        <w:rPr>
          <w:rFonts w:ascii="Calibri" w:cs="Calibri" w:eastAsia="Calibri" w:hAnsi="Calibri"/>
          <w:b/>
          <w:bCs/>
          <w:color w:val="2E5496"/>
          <w:sz w:val="25"/>
          <w:szCs w:val="25"/>
        </w:rPr>
        <w:t xml:space="preserve">6.1 Ablation study plan (Week 7)</w:t>
      </w:r>
    </w:p>
    <w:p>
      <w:pPr>
        <w:spacing w:after="120" w:line="276"/>
      </w:pPr>
      <w:r>
        <w:rPr>
          <w:rFonts w:ascii="Calibri" w:cs="Calibri" w:eastAsia="Calibri" w:hAnsi="Calibri"/>
          <w:sz w:val="22"/>
          <w:szCs w:val="22"/>
        </w:rPr>
        <w:t xml:space="preserve">The SOP requires an ablation once the baseline is reproduced. The schema item classifier (the schema filter) is the natural component to ablate because the authors release it as a separable module. The paper’s own ablation (Table 9, three-shot in-context setting) shows that removing the schema filter lowers accuracy and slows generation because the input becomes longer — for CodeS-1B on Spider it drops Test-suite accuracy from 57.4% to 55.0%, with larger drops on the more complex BIRD benchmark; removing the value retriever also hurts, especially on BIRD. This project will reproduce the same ablation on the reproduced CodeS-1B and report the measured drop, which becomes the Week-7 deliverable.</w:t>
      </w:r>
    </w:p>
    <w:p>
      <w:pPr>
        <w:pStyle w:val="Heading1"/>
        <w:spacing w:after="120" w:before="240"/>
      </w:pPr>
      <w:r>
        <w:rPr>
          <w:rFonts w:ascii="Calibri" w:cs="Calibri" w:eastAsia="Calibri" w:hAnsi="Calibri"/>
          <w:b/>
          <w:bCs/>
          <w:color w:val="1F3864"/>
          <w:sz w:val="30"/>
          <w:szCs w:val="30"/>
        </w:rPr>
        <w:t xml:space="preserve">7. Documented Deviations from the Paper</w:t>
      </w:r>
    </w:p>
    <w:p>
      <w:pPr>
        <w:spacing w:after="120" w:line="276"/>
      </w:pPr>
      <w:r>
        <w:rPr>
          <w:rFonts w:ascii="Calibri" w:cs="Calibri" w:eastAsia="Calibri" w:hAnsi="Calibri"/>
          <w:sz w:val="22"/>
          <w:szCs w:val="22"/>
        </w:rPr>
        <w:t xml:space="preserve">The following deviations are recorded now so that they can be cited in the final reproducibility report rather than reconstructed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3000"/>
        <w:gridCol w:w="2800"/>
      </w:tblGrid>
      <w:tr>
        <w:trPr>
          <w:tblHeader/>
        </w:trPr>
        <w:tc>
          <w:tcPr>
            <w:tcW w:type="dxa" w:w="32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Deviation</w:t>
            </w:r>
          </w:p>
        </w:tc>
        <w:tc>
          <w:tcPr>
            <w:tcW w:type="dxa" w:w="30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Cause</w:t>
            </w:r>
          </w:p>
        </w:tc>
        <w:tc>
          <w:tcPr>
            <w:tcW w:type="dxa" w:w="28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Expected impact</w:t>
            </w:r>
          </w:p>
        </w:tc>
      </w:tr>
      <w:tr>
        <w:tc>
          <w:tcPr>
            <w:tcW w:type="dxa" w:w="32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transformers 5.15.0 instead of pinned 4.28.1 (Tier 1)</w:t>
            </w:r>
          </w:p>
        </w:tc>
        <w:tc>
          <w:tcPr>
            <w:tcW w:type="dxa" w:w="3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Modern runtime; pinned stack will not build on current Python</w:t>
            </w:r>
          </w:p>
        </w:tc>
        <w:tc>
          <w:tcPr>
            <w:tcW w:type="dxa" w:w="2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Authors warn newer versions shift inference slightly; small, documented</w:t>
            </w:r>
          </w:p>
        </w:tc>
      </w:tr>
      <w:tr>
        <w:tc>
          <w:tcPr>
            <w:tcW w:type="dxa" w:w="32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Simplified schema-only prompt (Tier 1)</w:t>
            </w:r>
          </w:p>
        </w:tc>
        <w:tc>
          <w:tcPr>
            <w:tcW w:type="dxa" w:w="3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Liveness check; full DB prompt reserved for Tier 2</w:t>
            </w:r>
          </w:p>
        </w:tc>
        <w:tc>
          <w:tcPr>
            <w:tcW w:type="dxa" w:w="28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Not comparable to reported metrics; Tier 1 is not scored</w:t>
            </w:r>
          </w:p>
        </w:tc>
      </w:tr>
      <w:tr>
        <w:tc>
          <w:tcPr>
            <w:tcW w:type="dxa" w:w="32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Dataset id xlangai/spider instead of legacy ‘spider’</w:t>
            </w:r>
          </w:p>
        </w:tc>
        <w:tc>
          <w:tcPr>
            <w:tcW w:type="dxa" w:w="3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Legacy script dataset no longer loads on datasets ≥ 3.x</w:t>
            </w:r>
          </w:p>
        </w:tc>
        <w:tc>
          <w:tcPr>
            <w:tcW w:type="dxa" w:w="2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None — same data, approved Hugging Face source</w:t>
            </w:r>
          </w:p>
        </w:tc>
      </w:tr>
      <w:tr>
        <w:tc>
          <w:tcPr>
            <w:tcW w:type="dxa" w:w="32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Hardware T4 / M4 instead of 8×A800</w:t>
            </w:r>
          </w:p>
        </w:tc>
        <w:tc>
          <w:tcPr>
            <w:tcW w:type="dxa" w:w="3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Available resources</w:t>
            </w:r>
          </w:p>
        </w:tc>
        <w:tc>
          <w:tcPr>
            <w:tcW w:type="dxa" w:w="28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Reduced batch size; possible minor numerical differences</w:t>
            </w:r>
          </w:p>
        </w:tc>
      </w:tr>
      <w:tr>
        <w:tc>
          <w:tcPr>
            <w:tcW w:type="dxa" w:w="32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Metric EX/TS, not EM</w:t>
            </w:r>
          </w:p>
        </w:tc>
        <w:tc>
          <w:tcPr>
            <w:tcW w:type="dxa" w:w="3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The paper reports EX/TS for Spider, not EM</w:t>
            </w:r>
          </w:p>
        </w:tc>
        <w:tc>
          <w:tcPr>
            <w:tcW w:type="dxa" w:w="2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Corrects the reproduction target; no impact on validity</w:t>
            </w:r>
          </w:p>
        </w:tc>
      </w:tr>
      <w:tr>
        <w:tc>
          <w:tcPr>
            <w:tcW w:type="dxa" w:w="32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Repo uses DeepSpeed ZeRO stage 2; paper states ZeRO-3</w:t>
            </w:r>
          </w:p>
        </w:tc>
        <w:tc>
          <w:tcPr>
            <w:tcW w:type="dxa" w:w="3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Repo/paper mismatch found during annotation</w:t>
            </w:r>
          </w:p>
        </w:tc>
        <w:tc>
          <w:tcPr>
            <w:tcW w:type="dxa" w:w="28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Affects pre-training only (not reproduced); recorded as a finding</w:t>
            </w:r>
          </w:p>
        </w:tc>
      </w:tr>
      <w:tr>
        <w:tc>
          <w:tcPr>
            <w:tcW w:type="dxa" w:w="32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Quantized weights (MLX 4-bit, GGUF Q2_K) in the prototype</w:t>
            </w:r>
          </w:p>
        </w:tc>
        <w:tc>
          <w:tcPr>
            <w:tcW w:type="dxa" w:w="3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To run larger sizes locally for the demo</w:t>
            </w:r>
          </w:p>
        </w:tc>
        <w:tc>
          <w:tcPr>
            <w:tcW w:type="dxa" w:w="2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Demo only; the graded reproduction stays unquantized</w:t>
            </w:r>
          </w:p>
        </w:tc>
      </w:tr>
    </w:tbl>
    <w:p>
      <w:pPr>
        <w:pStyle w:val="Heading1"/>
        <w:spacing w:after="120" w:before="240"/>
      </w:pPr>
      <w:r>
        <w:rPr>
          <w:rFonts w:ascii="Calibri" w:cs="Calibri" w:eastAsia="Calibri" w:hAnsi="Calibri"/>
          <w:b/>
          <w:bCs/>
          <w:color w:val="1F3864"/>
          <w:sz w:val="30"/>
          <w:szCs w:val="30"/>
        </w:rPr>
        <w:t xml:space="preserve">8. Implementation: The QueryGenie Prototype</w:t>
      </w:r>
    </w:p>
    <w:p>
      <w:pPr>
        <w:spacing w:after="120" w:line="276"/>
      </w:pPr>
      <w:r>
        <w:rPr>
          <w:rFonts w:ascii="Calibri" w:cs="Calibri" w:eastAsia="Calibri" w:hAnsi="Calibri"/>
          <w:sz w:val="22"/>
          <w:szCs w:val="22"/>
        </w:rPr>
        <w:t xml:space="preserve">Beyond the reproduction, a working prototype has been built that implements the CodeS inference pipeline end-to-end and adds the first planned enhancement. It is a local web application (Gradio) in which a user asks a plain-English question and receives the generated SQL, the executed result table, and an automatically selected chart. Nothing leaves the machine, which mirrors the paper’s local-deployment motivation.</w:t>
      </w:r>
    </w:p>
    <w:p>
      <w:pPr>
        <w:pStyle w:val="Heading2"/>
        <w:spacing w:after="80" w:before="160"/>
      </w:pPr>
      <w:r>
        <w:rPr>
          <w:rFonts w:ascii="Calibri" w:cs="Calibri" w:eastAsia="Calibri" w:hAnsi="Calibri"/>
          <w:b/>
          <w:bCs/>
          <w:color w:val="2E5496"/>
          <w:sz w:val="25"/>
          <w:szCs w:val="25"/>
        </w:rPr>
        <w:t xml:space="preserve">8.1 Components</w:t>
      </w:r>
    </w:p>
    <w:p>
      <w:pPr>
        <w:pStyle w:val="ListParagraph"/>
        <w:numPr>
          <w:ilvl w:val="0"/>
          <w:numId w:val="1"/>
        </w:numPr>
        <w:spacing w:after="60" w:line="276"/>
      </w:pPr>
      <w:r>
        <w:rPr>
          <w:rFonts w:ascii="Calibri" w:cs="Calibri" w:eastAsia="Calibri" w:hAnsi="Calibri"/>
          <w:sz w:val="22"/>
          <w:szCs w:val="22"/>
        </w:rPr>
        <w:t xml:space="preserve">database.py — serialises a SQLite schema into the CodeS prompt format (in table-creation order, which materially affects generation quality) and executes generated SQL.</w:t>
      </w:r>
    </w:p>
    <w:p>
      <w:pPr>
        <w:pStyle w:val="ListParagraph"/>
        <w:numPr>
          <w:ilvl w:val="0"/>
          <w:numId w:val="1"/>
        </w:numPr>
        <w:spacing w:after="60" w:line="276"/>
      </w:pPr>
      <w:r>
        <w:rPr>
          <w:rFonts w:ascii="Calibri" w:cs="Calibri" w:eastAsia="Calibri" w:hAnsi="Calibri"/>
          <w:sz w:val="22"/>
          <w:szCs w:val="22"/>
        </w:rPr>
        <w:t xml:space="preserve">model.py — three interchangeable local backends: transformers (bf16, beam search), MLX (4-bit, Apple Silicon) and llama.cpp/GGUF (Metal); a manager swaps models on demand.</w:t>
      </w:r>
    </w:p>
    <w:p>
      <w:pPr>
        <w:pStyle w:val="ListParagraph"/>
        <w:numPr>
          <w:ilvl w:val="0"/>
          <w:numId w:val="1"/>
        </w:numPr>
        <w:spacing w:after="60" w:line="276"/>
      </w:pPr>
      <w:r>
        <w:rPr>
          <w:rFonts w:ascii="Calibri" w:cs="Calibri" w:eastAsia="Calibri" w:hAnsi="Calibri"/>
          <w:sz w:val="22"/>
          <w:szCs w:val="22"/>
        </w:rPr>
        <w:t xml:space="preserve">engine.py — the generate–execute–self-correct loop: on an execution error the error is fed back to the model for a repair attempt (the seed of Contribution 1).</w:t>
      </w:r>
    </w:p>
    <w:p>
      <w:pPr>
        <w:pStyle w:val="ListParagraph"/>
        <w:numPr>
          <w:ilvl w:val="0"/>
          <w:numId w:val="1"/>
        </w:numPr>
        <w:spacing w:after="60" w:line="276"/>
      </w:pPr>
      <w:r>
        <w:rPr>
          <w:rFonts w:ascii="Calibri" w:cs="Calibri" w:eastAsia="Calibri" w:hAnsi="Calibri"/>
          <w:sz w:val="22"/>
          <w:szCs w:val="22"/>
        </w:rPr>
        <w:t xml:space="preserve">charts.py — a LIDA-style heuristic that picks a bar, line, scatter or histogram from the result shape.</w:t>
      </w:r>
    </w:p>
    <w:p>
      <w:pPr>
        <w:pStyle w:val="ListParagraph"/>
        <w:numPr>
          <w:ilvl w:val="0"/>
          <w:numId w:val="1"/>
        </w:numPr>
        <w:spacing w:after="60" w:line="276"/>
      </w:pPr>
      <w:r>
        <w:rPr>
          <w:rFonts w:ascii="Calibri" w:cs="Calibri" w:eastAsia="Calibri" w:hAnsi="Calibri"/>
          <w:sz w:val="22"/>
          <w:szCs w:val="22"/>
        </w:rPr>
        <w:t xml:space="preserve">app.py — the Gradio interface with a database picker, a model switcher and the self-correction trace.</w:t>
      </w:r>
    </w:p>
    <w:p>
      <w:pPr>
        <w:spacing w:after="120" w:line="276"/>
      </w:pPr>
      <w:r>
        <w:rPr>
          <w:rFonts w:ascii="Calibri" w:cs="Calibri" w:eastAsia="Calibri" w:hAnsi="Calibri"/>
          <w:sz w:val="22"/>
          <w:szCs w:val="22"/>
        </w:rPr>
        <w:t xml:space="preserve">Model backends verified locally include the Spider fine-tuned checkpoint CodeS-3B-Spider (MLX 4-bit) and the released CodeS-7B-Spider quantised to GGUF (Q2_K) running on Metal in one to three seconds per query.</w:t>
      </w:r>
    </w:p>
    <w:p>
      <w:pPr>
        <w:pStyle w:val="Heading2"/>
        <w:spacing w:after="80" w:before="160"/>
      </w:pPr>
      <w:r>
        <w:rPr>
          <w:rFonts w:ascii="Calibri" w:cs="Calibri" w:eastAsia="Calibri" w:hAnsi="Calibri"/>
          <w:b/>
          <w:bCs/>
          <w:color w:val="2E5496"/>
          <w:sz w:val="25"/>
          <w:szCs w:val="25"/>
        </w:rPr>
        <w:t xml:space="preserve">8.2 Mapping to the CodeS pipeline</w:t>
      </w:r>
    </w:p>
    <w:p>
      <w:pPr>
        <w:spacing w:after="120" w:line="276"/>
      </w:pPr>
      <w:r>
        <w:rPr>
          <w:rFonts w:ascii="Calibri" w:cs="Calibri" w:eastAsia="Calibri" w:hAnsi="Calibri"/>
          <w:sz w:val="22"/>
          <w:szCs w:val="22"/>
        </w:rPr>
        <w:t xml:space="preserve">The prototype is a faithful-in-spirit but simplified realisation of the CodeS inference flow (the paper’s Figure 3). The database prompt in the paper — schema filter, value retriever and metadata — corresponds in the prototype to database.py, which serialises the schema (with foreign keys) in the CodeS textual format; the current prototype uses the full schema rather than a learned schema filter, which is the main simplification and the cause of the one failing query in Section 9. Generation corresponds to the model backends, and the paper’s execute-and-select-first-executable step is generalised by engine.py into an execution-guided repair loop, which is the seed of the first planned enhancement. Result presentation (table plus auto-chart) is the visualisation layer inspired by LIDA.</w:t>
      </w:r>
    </w:p>
    <w:p>
      <w:pPr>
        <w:pStyle w:val="Heading2"/>
        <w:spacing w:after="80" w:before="160"/>
      </w:pPr>
      <w:r>
        <w:rPr>
          <w:rFonts w:ascii="Calibri" w:cs="Calibri" w:eastAsia="Calibri" w:hAnsi="Calibri"/>
          <w:b/>
          <w:bCs/>
          <w:color w:val="2E5496"/>
          <w:sz w:val="25"/>
          <w:szCs w:val="25"/>
        </w:rPr>
        <w:t xml:space="preserve">8.3 Local inference backends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600"/>
        <w:gridCol w:w="2100"/>
        <w:gridCol w:w="2800"/>
      </w:tblGrid>
      <w:tr>
        <w:trPr>
          <w:tblHeader/>
        </w:trPr>
        <w:tc>
          <w:tcPr>
            <w:tcW w:type="dxa" w:w="25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Backend</w:t>
            </w:r>
          </w:p>
        </w:tc>
        <w:tc>
          <w:tcPr>
            <w:tcW w:type="dxa" w:w="16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Precision</w:t>
            </w:r>
          </w:p>
        </w:tc>
        <w:tc>
          <w:tcPr>
            <w:tcW w:type="dxa" w:w="21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Decoding</w:t>
            </w:r>
          </w:p>
        </w:tc>
        <w:tc>
          <w:tcPr>
            <w:tcW w:type="dxa" w:w="28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Notes</w:t>
            </w:r>
          </w:p>
        </w:tc>
      </w:tr>
      <w:tr>
        <w:tc>
          <w:tcPr>
            <w:tcW w:type="dxa" w:w="2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transformers</w:t>
            </w:r>
          </w:p>
        </w:tc>
        <w:tc>
          <w:tcPr>
            <w:tcW w:type="dxa" w:w="16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bf16</w:t>
            </w:r>
          </w:p>
        </w:tc>
        <w:tc>
          <w:tcPr>
            <w:tcW w:type="dxa" w:w="21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beam search (4)</w:t>
            </w:r>
          </w:p>
        </w:tc>
        <w:tc>
          <w:tcPr>
            <w:tcW w:type="dxa" w:w="2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Faithful to the repo; larger and slower</w:t>
            </w:r>
          </w:p>
        </w:tc>
      </w:tr>
      <w:tr>
        <w:tc>
          <w:tcPr>
            <w:tcW w:type="dxa" w:w="2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MLX (Apple)</w:t>
            </w:r>
          </w:p>
        </w:tc>
        <w:tc>
          <w:tcPr>
            <w:tcW w:type="dxa" w:w="16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4-bit</w:t>
            </w:r>
          </w:p>
        </w:tc>
        <w:tc>
          <w:tcPr>
            <w:tcW w:type="dxa" w:w="21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greedy</w:t>
            </w:r>
          </w:p>
        </w:tc>
        <w:tc>
          <w:tcPr>
            <w:tcW w:type="dxa" w:w="28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~4× smaller, fast; CodeS-3B-Spider is the default</w:t>
            </w:r>
          </w:p>
        </w:tc>
      </w:tr>
      <w:tr>
        <w:tc>
          <w:tcPr>
            <w:tcW w:type="dxa" w:w="2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llama.cpp / GGUF</w:t>
            </w:r>
          </w:p>
        </w:tc>
        <w:tc>
          <w:tcPr>
            <w:tcW w:type="dxa" w:w="16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2-bit (Q2_K)</w:t>
            </w:r>
          </w:p>
        </w:tc>
        <w:tc>
          <w:tcPr>
            <w:tcW w:type="dxa" w:w="21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greedy</w:t>
            </w:r>
          </w:p>
        </w:tc>
        <w:tc>
          <w:tcPr>
            <w:tcW w:type="dxa" w:w="2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Runs CodeS-7B-Spider on Metal from a ready-made GGUF</w:t>
            </w:r>
          </w:p>
        </w:tc>
      </w:tr>
    </w:tbl>
    <w:p>
      <w:pPr>
        <w:spacing w:after="80"/>
      </w:pPr>
    </w:p>
    <w:p>
      <w:pPr>
        <w:pStyle w:val="Heading1"/>
        <w:spacing w:after="120" w:before="240"/>
      </w:pPr>
      <w:r>
        <w:rPr>
          <w:rFonts w:ascii="Calibri" w:cs="Calibri" w:eastAsia="Calibri" w:hAnsi="Calibri"/>
          <w:b/>
          <w:bCs/>
          <w:color w:val="1F3864"/>
          <w:sz w:val="30"/>
          <w:szCs w:val="30"/>
        </w:rPr>
        <w:t xml:space="preserve">9. Execution Results</w:t>
      </w:r>
    </w:p>
    <w:p>
      <w:pPr>
        <w:spacing w:after="120" w:line="276"/>
      </w:pPr>
      <w:r>
        <w:rPr>
          <w:rFonts w:ascii="Calibri" w:cs="Calibri" w:eastAsia="Calibri" w:hAnsi="Calibri"/>
          <w:sz w:val="22"/>
          <w:szCs w:val="22"/>
        </w:rPr>
        <w:t xml:space="preserve">The following results were produced by the prototype on a bundled academic schema (tables student and result) using the CodeS-3B-Spider (SFT) checkpoint. They demonstrate that the reproduced model generates and executes correct SQL for a range of query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1500"/>
        <w:gridCol w:w="3000"/>
      </w:tblGrid>
      <w:tr>
        <w:trPr>
          <w:tblHeader/>
        </w:trPr>
        <w:tc>
          <w:tcPr>
            <w:tcW w:type="dxa" w:w="45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Natural-language question</w:t>
            </w:r>
          </w:p>
        </w:tc>
        <w:tc>
          <w:tcPr>
            <w:tcW w:type="dxa" w:w="15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Executed?</w:t>
            </w:r>
          </w:p>
        </w:tc>
        <w:tc>
          <w:tcPr>
            <w:tcW w:type="dxa" w:w="30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Result</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Which students failed more than two subjects (marks &lt; 40)?</w:t>
            </w:r>
          </w:p>
        </w:tc>
        <w:tc>
          <w:tcPr>
            <w:tcW w:type="dxa" w:w="15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Yes</w:t>
            </w:r>
          </w:p>
        </w:tc>
        <w:tc>
          <w:tcPr>
            <w:tcW w:type="dxa" w:w="3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Meera</w:t>
            </w:r>
          </w:p>
        </w:tc>
      </w:tr>
      <w:tr>
        <w:tc>
          <w:tcPr>
            <w:tcW w:type="dxa" w:w="4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List the top 3 students by total marks</w:t>
            </w:r>
          </w:p>
        </w:tc>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Yes</w:t>
            </w:r>
          </w:p>
        </w:tc>
        <w:tc>
          <w:tcPr>
            <w:tcW w:type="dxa" w:w="3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Sana, Karthik, Ravi</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How many students are in each year?</w:t>
            </w:r>
          </w:p>
        </w:tc>
        <w:tc>
          <w:tcPr>
            <w:tcW w:type="dxa" w:w="15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Yes</w:t>
            </w:r>
          </w:p>
        </w:tc>
        <w:tc>
          <w:tcPr>
            <w:tcW w:type="dxa" w:w="3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Year 1:1, 2:2, 3:3</w:t>
            </w:r>
          </w:p>
        </w:tc>
      </w:tr>
      <w:tr>
        <w:tc>
          <w:tcPr>
            <w:tcW w:type="dxa" w:w="4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List all students in the CSE department</w:t>
            </w:r>
          </w:p>
        </w:tc>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Yes</w:t>
            </w:r>
          </w:p>
        </w:tc>
        <w:tc>
          <w:tcPr>
            <w:tcW w:type="dxa" w:w="3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Asha, Ravi, Sana</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Average marks per department</w:t>
            </w:r>
          </w:p>
        </w:tc>
        <w:tc>
          <w:tcPr>
            <w:tcW w:type="dxa" w:w="15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No</w:t>
            </w:r>
          </w:p>
        </w:tc>
        <w:tc>
          <w:tcPr>
            <w:tcW w:type="dxa" w:w="3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Fails at 1B/3B/7B — two-hop join; see below</w:t>
            </w:r>
          </w:p>
        </w:tc>
      </w:tr>
    </w:tbl>
    <w:p>
      <w:pPr>
        <w:spacing w:after="80"/>
      </w:pPr>
    </w:p>
    <w:p>
      <w:pPr>
        <w:spacing w:after="120" w:line="276"/>
      </w:pPr>
      <w:r>
        <w:rPr>
          <w:rFonts w:ascii="Calibri" w:cs="Calibri" w:eastAsia="Calibri" w:hAnsi="Calibri"/>
          <w:sz w:val="22"/>
          <w:szCs w:val="22"/>
        </w:rPr>
        <w:t xml:space="preserve">The one consistent failure (“average marks per department”) requires a two-hop join across the student and result tables and fails at every model size. Analysis attributes this to the simplified prompt rather than model size: the paper’s full database prompt makes foreign-key relationships more explicit. Strengthening the prompt is recorded as an improvement task.</w:t>
      </w:r>
    </w:p>
    <w:p>
      <w:pPr>
        <w:pStyle w:val="Heading1"/>
        <w:spacing w:after="120" w:before="240"/>
      </w:pPr>
      <w:r>
        <w:rPr>
          <w:rFonts w:ascii="Calibri" w:cs="Calibri" w:eastAsia="Calibri" w:hAnsi="Calibri"/>
          <w:b/>
          <w:bCs/>
          <w:color w:val="1F3864"/>
          <w:sz w:val="30"/>
          <w:szCs w:val="30"/>
        </w:rPr>
        <w:t xml:space="preserve">10. Planned Enhancements (Contributions)</w:t>
      </w:r>
    </w:p>
    <w:p>
      <w:pPr>
        <w:spacing w:after="120" w:line="276"/>
      </w:pPr>
      <w:r>
        <w:rPr>
          <w:rFonts w:ascii="Calibri" w:cs="Calibri" w:eastAsia="Calibri" w:hAnsi="Calibri"/>
          <w:sz w:val="22"/>
          <w:szCs w:val="22"/>
        </w:rPr>
        <w:t xml:space="preserve">Three enhancements are planned for Month 3; each will be measured against the reproduced baseline and tested for statistical significance (paired t-test or Wilcoxon signed-rank on per-query outcomes).</w:t>
      </w:r>
    </w:p>
    <w:p>
      <w:pPr>
        <w:pStyle w:val="ListParagraph"/>
        <w:numPr>
          <w:ilvl w:val="0"/>
          <w:numId w:val="1"/>
        </w:numPr>
        <w:spacing w:after="60" w:line="276"/>
      </w:pPr>
      <w:r>
        <w:rPr>
          <w:rFonts w:ascii="Calibri" w:cs="Calibri" w:eastAsia="Calibri" w:hAnsi="Calibri"/>
          <w:sz w:val="22"/>
          <w:szCs w:val="22"/>
        </w:rPr>
        <w:t xml:space="preserve">Execution-guided self-correction — detect SQL that fails to execute and repair it automatically. A prototype loop already exists; the enhancement formalises it and measures the lift in EX on Spider.</w:t>
      </w:r>
    </w:p>
    <w:p>
      <w:pPr>
        <w:pStyle w:val="ListParagraph"/>
        <w:numPr>
          <w:ilvl w:val="0"/>
          <w:numId w:val="1"/>
        </w:numPr>
        <w:spacing w:after="60" w:line="276"/>
      </w:pPr>
      <w:r>
        <w:rPr>
          <w:rFonts w:ascii="Calibri" w:cs="Calibri" w:eastAsia="Calibri" w:hAnsi="Calibri"/>
          <w:sz w:val="22"/>
          <w:szCs w:val="22"/>
        </w:rPr>
        <w:t xml:space="preserve">Confidence-aware abstention (novel) — generate several candidates, measure their agreement, and abstain with a clarifying question when confidence is low. Evaluated with an accuracy-versus-coverage curve; existing systems answer with uniform confidence and never report this.</w:t>
      </w:r>
    </w:p>
    <w:p>
      <w:pPr>
        <w:pStyle w:val="ListParagraph"/>
        <w:numPr>
          <w:ilvl w:val="0"/>
          <w:numId w:val="1"/>
        </w:numPr>
        <w:spacing w:after="60" w:line="276"/>
      </w:pPr>
      <w:r>
        <w:rPr>
          <w:rFonts w:ascii="Calibri" w:cs="Calibri" w:eastAsia="Calibri" w:hAnsi="Calibri"/>
          <w:sz w:val="22"/>
          <w:szCs w:val="22"/>
        </w:rPr>
        <w:t xml:space="preserve">Benchmark-to-reality gap — evaluate on a custom academic schema alongside Spider to quantify, and then narrow, the drop published models show on real databases.</w:t>
      </w:r>
    </w:p>
    <w:p>
      <w:pPr>
        <w:pStyle w:val="Heading1"/>
        <w:spacing w:after="120" w:before="240"/>
      </w:pPr>
      <w:r>
        <w:rPr>
          <w:rFonts w:ascii="Calibri" w:cs="Calibri" w:eastAsia="Calibri" w:hAnsi="Calibri"/>
          <w:b/>
          <w:bCs/>
          <w:color w:val="1F3864"/>
          <w:sz w:val="30"/>
          <w:szCs w:val="30"/>
        </w:rPr>
        <w:t xml:space="preserve">11. Challenges, Risks and Next-Review Work</w:t>
      </w:r>
    </w:p>
    <w:p>
      <w:pPr>
        <w:pStyle w:val="ListParagraph"/>
        <w:numPr>
          <w:ilvl w:val="0"/>
          <w:numId w:val="1"/>
        </w:numPr>
        <w:spacing w:after="60" w:line="276"/>
      </w:pPr>
      <w:r>
        <w:rPr>
          <w:rFonts w:ascii="Calibri" w:cs="Calibri" w:eastAsia="Calibri" w:hAnsi="Calibri"/>
          <w:sz w:val="22"/>
          <w:szCs w:val="22"/>
        </w:rPr>
        <w:t xml:space="preserve">CUDA dependency: the faithful reproduction cannot run on the local Apple-Silicon machine and must use Colab or an equivalent CUDA GPU.</w:t>
      </w:r>
    </w:p>
    <w:p>
      <w:pPr>
        <w:pStyle w:val="ListParagraph"/>
        <w:numPr>
          <w:ilvl w:val="0"/>
          <w:numId w:val="1"/>
        </w:numPr>
        <w:spacing w:after="60" w:line="276"/>
      </w:pPr>
      <w:r>
        <w:rPr>
          <w:rFonts w:ascii="Calibri" w:cs="Calibri" w:eastAsia="Calibri" w:hAnsi="Calibri"/>
          <w:sz w:val="22"/>
          <w:szCs w:val="22"/>
        </w:rPr>
        <w:t xml:space="preserve">Environment build risk: the pinned Python 3.8.5 stack and Google-Drive-hosted assets are the main friction; a manual-download fallback is prepared.</w:t>
      </w:r>
    </w:p>
    <w:p>
      <w:pPr>
        <w:pStyle w:val="ListParagraph"/>
        <w:numPr>
          <w:ilvl w:val="0"/>
          <w:numId w:val="1"/>
        </w:numPr>
        <w:spacing w:after="60" w:line="276"/>
      </w:pPr>
      <w:r>
        <w:rPr>
          <w:rFonts w:ascii="Calibri" w:cs="Calibri" w:eastAsia="Calibri" w:hAnsi="Calibri"/>
          <w:sz w:val="22"/>
          <w:szCs w:val="22"/>
        </w:rPr>
        <w:t xml:space="preserve">Next-review work: build the Tier-2 environment, run CodeS-1B on Spider dev three times, record EX/TS against the 77.9% target, and produce version 2 of this reproducibility report with the measured numbers.</w:t>
      </w:r>
    </w:p>
    <w:p>
      <w:pPr>
        <w:pStyle w:val="Heading1"/>
        <w:spacing w:after="120" w:before="240"/>
      </w:pPr>
      <w:r>
        <w:rPr>
          <w:rFonts w:ascii="Calibri" w:cs="Calibri" w:eastAsia="Calibri" w:hAnsi="Calibri"/>
          <w:b/>
          <w:bCs/>
          <w:color w:val="1F3864"/>
          <w:sz w:val="30"/>
          <w:szCs w:val="30"/>
        </w:rPr>
        <w:t xml:space="preserve">12. Reproducibility Checklist and Artefact Index</w:t>
      </w:r>
    </w:p>
    <w:p>
      <w:pPr>
        <w:spacing w:after="120" w:line="276"/>
      </w:pPr>
      <w:r>
        <w:rPr>
          <w:rFonts w:ascii="Calibri" w:cs="Calibri" w:eastAsia="Calibri" w:hAnsi="Calibri"/>
          <w:sz w:val="22"/>
          <w:szCs w:val="22"/>
        </w:rPr>
        <w:t xml:space="preserve">All artefacts are version-controlled in the project GitHub repository (private during development; the supervisor is added as a collaborator).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Artefact</w:t>
            </w:r>
          </w:p>
        </w:tc>
        <w:tc>
          <w:tcPr>
            <w:tcW w:type="dxa" w:w="60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Location in repository</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Dataset download + provenance</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scripts/download_spider.py, results/dataset_provenance.json</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Week-4 gate notebook</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notebooks/01_week4_gate_codes_setup.ipynb</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Reproduction log</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results/reproduction_log.csv</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Gate evidence</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results/week4_gate_evidence.md</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Paper annotation worksheet</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docs/weekly-reports/Week 3/Paper_Annotation_Worksheet.docx</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Architecture diagram</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docs/codes_architecture_flowchart.png, docs/architecture.png</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Prototype application</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src/ (app.py, model.py, engine.py, database.py, charts.py)</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MLX / GGUF conversion</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scripts/convert_mlx.py</w:t>
            </w:r>
          </w:p>
        </w:tc>
      </w:tr>
    </w:tbl>
    <w:p>
      <w:pPr>
        <w:spacing w:after="80"/>
      </w:pPr>
    </w:p>
    <w:p>
      <w:pPr>
        <w:spacing w:after="120" w:line="276"/>
      </w:pPr>
      <w:r>
        <w:rPr>
          <w:rFonts w:ascii="Calibri" w:cs="Calibri" w:eastAsia="Calibri" w:hAnsi="Calibri"/>
          <w:sz w:val="22"/>
          <w:szCs w:val="22"/>
        </w:rPr>
        <w:t xml:space="preserve">To reproduce Tier 1 and the prototype: run scripts/download_spider.py to fetch Spider; open the Week-4 notebook and run the Tier-1 cells on a GPU runtime; and, for the prototype, install requirements.txt and run python src/app.py.</w:t>
      </w:r>
    </w:p>
    <w:p>
      <w:pPr>
        <w:pStyle w:val="Heading1"/>
        <w:spacing w:after="120" w:before="240"/>
      </w:pPr>
      <w:r>
        <w:rPr>
          <w:rFonts w:ascii="Calibri" w:cs="Calibri" w:eastAsia="Calibri" w:hAnsi="Calibri"/>
          <w:b/>
          <w:bCs/>
          <w:color w:val="1F3864"/>
          <w:sz w:val="30"/>
          <w:szCs w:val="30"/>
        </w:rPr>
        <w:t xml:space="preserve">13. References</w:t>
      </w:r>
    </w:p>
    <w:p>
      <w:pPr>
        <w:spacing w:after="120" w:line="276"/>
      </w:pPr>
      <w:r>
        <w:rPr>
          <w:rFonts w:ascii="Calibri" w:cs="Calibri" w:eastAsia="Calibri" w:hAnsi="Calibri"/>
          <w:sz w:val="22"/>
          <w:szCs w:val="22"/>
        </w:rPr>
        <w:t xml:space="preserve">In accordance with the SOP, all cited papers are from arXiv.</w:t>
      </w:r>
    </w:p>
    <w:p>
      <w:pPr>
        <w:pStyle w:val="ListParagraph"/>
        <w:numPr>
          <w:ilvl w:val="0"/>
          <w:numId w:val="1"/>
        </w:numPr>
        <w:spacing w:after="60" w:line="276"/>
      </w:pPr>
      <w:r>
        <w:rPr>
          <w:rFonts w:ascii="Calibri" w:cs="Calibri" w:eastAsia="Calibri" w:hAnsi="Calibri"/>
          <w:sz w:val="22"/>
          <w:szCs w:val="22"/>
        </w:rPr>
        <w:t xml:space="preserve">Li et al. CodeS: Towards Building Open-source Language Models for Text-to-SQL. SIGMOD 2024. arXiv:2402.16347</w:t>
      </w:r>
    </w:p>
    <w:p>
      <w:pPr>
        <w:pStyle w:val="ListParagraph"/>
        <w:numPr>
          <w:ilvl w:val="0"/>
          <w:numId w:val="1"/>
        </w:numPr>
        <w:spacing w:after="60" w:line="276"/>
      </w:pPr>
      <w:r>
        <w:rPr>
          <w:rFonts w:ascii="Calibri" w:cs="Calibri" w:eastAsia="Calibri" w:hAnsi="Calibri"/>
          <w:sz w:val="22"/>
          <w:szCs w:val="22"/>
        </w:rPr>
        <w:t xml:space="preserve">Li et al. RESDSQL: Decoupling Schema Linking and Skeleton Parsing for Text-to-SQL. AAAI 2023. arXiv:2302.05965</w:t>
      </w:r>
    </w:p>
    <w:p>
      <w:pPr>
        <w:pStyle w:val="ListParagraph"/>
        <w:numPr>
          <w:ilvl w:val="0"/>
          <w:numId w:val="1"/>
        </w:numPr>
        <w:spacing w:after="60" w:line="276"/>
      </w:pPr>
      <w:r>
        <w:rPr>
          <w:rFonts w:ascii="Calibri" w:cs="Calibri" w:eastAsia="Calibri" w:hAnsi="Calibri"/>
          <w:sz w:val="22"/>
          <w:szCs w:val="22"/>
        </w:rPr>
        <w:t xml:space="preserve">Pourreza &amp; Rafiei. DIN-SQL: Decomposed In-Context Learning of Text-to-SQL with Self-Correction. NeurIPS 2023. arXiv:2304.11015</w:t>
      </w:r>
    </w:p>
    <w:p>
      <w:pPr>
        <w:pStyle w:val="ListParagraph"/>
        <w:numPr>
          <w:ilvl w:val="0"/>
          <w:numId w:val="1"/>
        </w:numPr>
        <w:spacing w:after="60" w:line="276"/>
      </w:pPr>
      <w:r>
        <w:rPr>
          <w:rFonts w:ascii="Calibri" w:cs="Calibri" w:eastAsia="Calibri" w:hAnsi="Calibri"/>
          <w:sz w:val="22"/>
          <w:szCs w:val="22"/>
        </w:rPr>
        <w:t xml:space="preserve">Dib et al. LIDA: Automatic Generation of Grammar-Agnostic Visualizations. ACL 2023. arXiv:2303.02927</w:t>
      </w:r>
    </w:p>
    <w:p>
      <w:pPr>
        <w:pStyle w:val="ListParagraph"/>
        <w:numPr>
          <w:ilvl w:val="0"/>
          <w:numId w:val="1"/>
        </w:numPr>
        <w:spacing w:after="60" w:line="276"/>
      </w:pPr>
      <w:r>
        <w:rPr>
          <w:rFonts w:ascii="Calibri" w:cs="Calibri" w:eastAsia="Calibri" w:hAnsi="Calibri"/>
          <w:sz w:val="22"/>
          <w:szCs w:val="22"/>
        </w:rPr>
        <w:t xml:space="preserve">Yu et al. Spider: A Large-Scale Human-Labeled Dataset for Complex and Cross-Domain Semantic Parsing and Text-to-SQL. EMNLP 2018. arXiv:1809.08887</w:t>
      </w:r>
    </w:p>
    <w:p>
      <w:pPr>
        <w:pStyle w:val="ListParagraph"/>
        <w:numPr>
          <w:ilvl w:val="0"/>
          <w:numId w:val="1"/>
        </w:numPr>
        <w:spacing w:after="60" w:line="276"/>
      </w:pPr>
      <w:r>
        <w:rPr>
          <w:rFonts w:ascii="Calibri" w:cs="Calibri" w:eastAsia="Calibri" w:hAnsi="Calibri"/>
          <w:sz w:val="22"/>
          <w:szCs w:val="22"/>
        </w:rPr>
        <w:t xml:space="preserve">Li et al. StarCoder: may the source be with you! arXiv:2305.06161</w:t>
      </w:r>
    </w:p>
    <w:p>
      <w:r>
        <w:br w:type="page"/>
      </w:r>
    </w:p>
    <w:p>
      <w:pPr>
        <w:pStyle w:val="Heading1"/>
        <w:spacing w:after="120" w:before="240"/>
      </w:pPr>
      <w:r>
        <w:rPr>
          <w:rFonts w:ascii="Calibri" w:cs="Calibri" w:eastAsia="Calibri" w:hAnsi="Calibri"/>
          <w:b/>
          <w:bCs/>
          <w:color w:val="1F3864"/>
          <w:sz w:val="30"/>
          <w:szCs w:val="30"/>
        </w:rPr>
        <w:t xml:space="preserve">Appendix A. Reproduction Log (Tier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Field</w:t>
            </w:r>
          </w:p>
        </w:tc>
        <w:tc>
          <w:tcPr>
            <w:tcW w:type="dxa" w:w="60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Value</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run_id</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T1-001</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tier</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Tier 1 — smoke test</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model</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seeklhy/codes-1b</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dataset</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hand-built toy schema (not Spider)</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metric</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query_executed_without_error = True (returned correct row)</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runtime</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61.86 s (generation)</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gpu</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Tesla T4 (14.6 GB)</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torch / transformers</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2.11.0+cu128 / 5.15.0</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date</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2026-08-14</w:t>
            </w:r>
          </w:p>
        </w:tc>
      </w:tr>
    </w:tbl>
    <w:p>
      <w:pPr>
        <w:pStyle w:val="Heading2"/>
        <w:spacing w:after="80" w:before="160"/>
      </w:pPr>
      <w:r>
        <w:rPr>
          <w:rFonts w:ascii="Calibri" w:cs="Calibri" w:eastAsia="Calibri" w:hAnsi="Calibri"/>
          <w:b/>
          <w:bCs/>
          <w:color w:val="2E5496"/>
          <w:sz w:val="25"/>
          <w:szCs w:val="25"/>
        </w:rPr>
        <w:t xml:space="preserve">Appendix A.1 — Tier-2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026"/>
      </w:tblGrid>
      <w:tr>
        <w:trPr>
          <w:tblHeader/>
        </w:trPr>
        <w:tc>
          <w:tcPr>
            <w:tcW w:type="dxa" w:w="19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Field</w:t>
            </w:r>
          </w:p>
        </w:tc>
        <w:tc>
          <w:tcPr>
            <w:tcW w:type="dxa" w:w="41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T2-002 (headline)</w:t>
            </w:r>
          </w:p>
        </w:tc>
        <w:tc>
          <w:tcPr>
            <w:tcW w:type="dxa" w:w="30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T2-001</w:t>
            </w:r>
          </w:p>
        </w:tc>
      </w:tr>
      <w:tr>
        <w:tc>
          <w:tcPr>
            <w:tcW w:type="dxa" w:w="19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model</w:t>
            </w:r>
          </w:p>
        </w:tc>
        <w:tc>
          <w:tcPr>
            <w:tcW w:type="dxa" w:w="41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seeklhy/codes-1b-spider (SFT)</w:t>
            </w:r>
          </w:p>
        </w:tc>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same</w:t>
            </w:r>
          </w:p>
        </w:tc>
      </w:tr>
      <w:tr>
        <w:tc>
          <w:tcPr>
            <w:tcW w:type="dxa" w:w="19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dataset</w:t>
            </w:r>
          </w:p>
        </w:tc>
        <w:tc>
          <w:tcPr>
            <w:tcW w:type="dxa" w:w="41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Spider dev — 1,034</w:t>
            </w:r>
          </w:p>
        </w:tc>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Spider dev — 1,034</w:t>
            </w:r>
          </w:p>
        </w:tc>
      </w:tr>
      <w:tr>
        <w:tc>
          <w:tcPr>
            <w:tcW w:type="dxa" w:w="19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prompt</w:t>
            </w:r>
          </w:p>
        </w:tc>
        <w:tc>
          <w:tcPr>
            <w:tcW w:type="dxa" w:w="41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full CodeS prompt (schema+values+matched)</w:t>
            </w:r>
          </w:p>
        </w:tc>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schema + foreign keys</w:t>
            </w:r>
          </w:p>
        </w:tc>
      </w:tr>
      <w:tr>
        <w:tc>
          <w:tcPr>
            <w:tcW w:type="dxa" w:w="19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EX</w:t>
            </w:r>
          </w:p>
        </w:tc>
        <w:tc>
          <w:tcPr>
            <w:tcW w:type="dxa" w:w="41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0.7166 (741/1034)</w:t>
            </w:r>
          </w:p>
        </w:tc>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0.648 (670/1034)</w:t>
            </w:r>
          </w:p>
        </w:tc>
      </w:tr>
      <w:tr>
        <w:tc>
          <w:tcPr>
            <w:tcW w:type="dxa" w:w="19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executes</w:t>
            </w:r>
          </w:p>
        </w:tc>
        <w:tc>
          <w:tcPr>
            <w:tcW w:type="dxa" w:w="41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0.935</w:t>
            </w:r>
          </w:p>
        </w:tc>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0.929</w:t>
            </w:r>
          </w:p>
        </w:tc>
      </w:tr>
      <w:tr>
        <w:tc>
          <w:tcPr>
            <w:tcW w:type="dxa" w:w="19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decoding</w:t>
            </w:r>
          </w:p>
        </w:tc>
        <w:tc>
          <w:tcPr>
            <w:tcW w:type="dxa" w:w="41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beam search (4)</w:t>
            </w:r>
          </w:p>
        </w:tc>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beam search (4)</w:t>
            </w:r>
          </w:p>
        </w:tc>
      </w:tr>
      <w:tr>
        <w:tc>
          <w:tcPr>
            <w:tcW w:type="dxa" w:w="19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hardware</w:t>
            </w:r>
          </w:p>
        </w:tc>
        <w:tc>
          <w:tcPr>
            <w:tcW w:type="dxa" w:w="41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Tesla T4 (Colab)</w:t>
            </w:r>
          </w:p>
        </w:tc>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Apple M4 (MPS)</w:t>
            </w:r>
          </w:p>
        </w:tc>
      </w:tr>
      <w:tr>
        <w:tc>
          <w:tcPr>
            <w:tcW w:type="dxa" w:w="19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vs 77.9%</w:t>
            </w:r>
          </w:p>
        </w:tc>
        <w:tc>
          <w:tcPr>
            <w:tcW w:type="dxa" w:w="41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within ±10% (~8% rel.)</w:t>
            </w:r>
          </w:p>
        </w:tc>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outside ±10%</w:t>
            </w:r>
          </w:p>
        </w:tc>
      </w:tr>
    </w:tbl>
    <w:p>
      <w:pPr>
        <w:pStyle w:val="Heading1"/>
        <w:spacing w:after="120" w:before="240"/>
      </w:pPr>
      <w:r>
        <w:rPr>
          <w:rFonts w:ascii="Calibri" w:cs="Calibri" w:eastAsia="Calibri" w:hAnsi="Calibri"/>
          <w:b/>
          <w:bCs/>
          <w:color w:val="1F3864"/>
          <w:sz w:val="30"/>
          <w:szCs w:val="30"/>
        </w:rPr>
        <w:t xml:space="preserve">Appendix B. Example Generated SQL</w:t>
      </w:r>
    </w:p>
    <w:p>
      <w:pPr>
        <w:spacing w:after="120" w:line="276"/>
      </w:pPr>
      <w:r>
        <w:rPr>
          <w:rFonts w:ascii="Calibri" w:cs="Calibri" w:eastAsia="Calibri" w:hAnsi="Calibri"/>
          <w:sz w:val="22"/>
          <w:szCs w:val="22"/>
        </w:rPr>
        <w:t xml:space="preserve">Flagship gate query (CodeS-1B, Colab T4):</w:t>
      </w:r>
    </w:p>
    <w:p>
      <w:pPr>
        <w:spacing w:after="120" w:line="276"/>
      </w:pPr>
      <w:r>
        <w:rPr>
          <w:rFonts w:ascii="Calibri" w:cs="Calibri" w:eastAsia="Calibri" w:hAnsi="Calibri"/>
          <w:sz w:val="20"/>
          <w:szCs w:val="20"/>
        </w:rPr>
        <w:t xml:space="preserve">SELECT name FROM student WHERE student_id IN (SELECT student_id FROM result WHERE marks &lt; 40 GROUP BY student_id HAVING COUNT(subject) &gt; 2)</w:t>
      </w:r>
    </w:p>
    <w:p>
      <w:pPr>
        <w:spacing w:after="120" w:line="276"/>
      </w:pPr>
      <w:r>
        <w:rPr>
          <w:rFonts w:ascii="Calibri" w:cs="Calibri" w:eastAsia="Calibri" w:hAnsi="Calibri"/>
          <w:sz w:val="22"/>
          <w:szCs w:val="22"/>
        </w:rPr>
        <w:t xml:space="preserve">Top-3-by-total-marks (CodeS-3B-Spider, MLX 4-bit, Apple M4):</w:t>
      </w:r>
    </w:p>
    <w:p>
      <w:pPr>
        <w:spacing w:after="120" w:line="276"/>
      </w:pPr>
      <w:r>
        <w:rPr>
          <w:rFonts w:ascii="Calibri" w:cs="Calibri" w:eastAsia="Calibri" w:hAnsi="Calibri"/>
          <w:sz w:val="20"/>
          <w:szCs w:val="20"/>
        </w:rPr>
        <w:t xml:space="preserve">SELECT student.name FROM student JOIN result ON student.student_id = result.student_id GROUP BY result.student_id ORDER BY sum(result.marks) DESC LIMIT 3</w:t>
      </w:r>
    </w:p>
    <w:p>
      <w:pPr>
        <w:pStyle w:val="Heading1"/>
        <w:spacing w:after="120" w:before="240"/>
      </w:pPr>
      <w:r>
        <w:rPr>
          <w:rFonts w:ascii="Calibri" w:cs="Calibri" w:eastAsia="Calibri" w:hAnsi="Calibri"/>
          <w:b/>
          <w:bCs/>
          <w:color w:val="1F3864"/>
          <w:sz w:val="30"/>
          <w:szCs w:val="30"/>
        </w:rPr>
        <w:t xml:space="preserve">Appendix C. Faithful-Environment Build (Tier 2) and Known Friction</w:t>
      </w:r>
    </w:p>
    <w:p>
      <w:pPr>
        <w:spacing w:after="120" w:line="276"/>
      </w:pPr>
      <w:r>
        <w:rPr>
          <w:rFonts w:ascii="Calibri" w:cs="Calibri" w:eastAsia="Calibri" w:hAnsi="Calibri"/>
          <w:sz w:val="22"/>
          <w:szCs w:val="22"/>
        </w:rPr>
        <w:t xml:space="preserve">The steps below reproduce the authors’ environment for the faithful evaluation. They must be run on a CUDA GPU. Each known friction point is listed with its handling so it does not have to be rediscovered.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26"/>
        <w:gridCol w:w="3800"/>
      </w:tblGrid>
      <w:tr>
        <w:trPr>
          <w:tblHeader/>
        </w:trPr>
        <w:tc>
          <w:tcPr>
            <w:tcW w:type="dxa" w:w="16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Step</w:t>
            </w:r>
          </w:p>
        </w:tc>
        <w:tc>
          <w:tcPr>
            <w:tcW w:type="dxa" w:w="36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Command / action</w:t>
            </w:r>
          </w:p>
        </w:tc>
        <w:tc>
          <w:tcPr>
            <w:tcW w:type="dxa" w:w="38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Known friction &amp; handling</w:t>
            </w:r>
          </w:p>
        </w:tc>
      </w:tr>
      <w:tr>
        <w:tc>
          <w:tcPr>
            <w:tcW w:type="dxa" w:w="16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Isolated Python</w:t>
            </w:r>
          </w:p>
        </w:tc>
        <w:tc>
          <w:tcPr>
            <w:tcW w:type="dxa" w:w="36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conda create -n codes python=3.8.5</w:t>
            </w:r>
          </w:p>
        </w:tc>
        <w:tc>
          <w:tcPr>
            <w:tcW w:type="dxa" w:w="3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Modern Python cannot build the pinned deps; an isolated 3.8.5 env is mandatory</w:t>
            </w:r>
          </w:p>
        </w:tc>
      </w:tr>
      <w:tr>
        <w:tc>
          <w:tcPr>
            <w:tcW w:type="dxa" w:w="16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Core deps</w:t>
            </w:r>
          </w:p>
        </w:tc>
        <w:tc>
          <w:tcPr>
            <w:tcW w:type="dxa" w:w="36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pip install torch==1.13.1 …; pip install -r requirements.txt</w:t>
            </w:r>
          </w:p>
        </w:tc>
        <w:tc>
          <w:tcPr>
            <w:tcW w:type="dxa" w:w="38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transformers 4.28.1, scipy 1.5.4 pinned</w:t>
            </w:r>
          </w:p>
        </w:tc>
      </w:tr>
      <w:tr>
        <w:tc>
          <w:tcPr>
            <w:tcW w:type="dxa" w:w="16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Java</w:t>
            </w:r>
          </w:p>
        </w:tc>
        <w:tc>
          <w:tcPr>
            <w:tcW w:type="dxa" w:w="36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apt-get install openjdk-11-jdk</w:t>
            </w:r>
          </w:p>
        </w:tc>
        <w:tc>
          <w:tcPr>
            <w:tcW w:type="dxa" w:w="3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pyserini 0.21.0 needs Java 11</w:t>
            </w:r>
          </w:p>
        </w:tc>
      </w:tr>
      <w:tr>
        <w:tc>
          <w:tcPr>
            <w:tcW w:type="dxa" w:w="16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SimCSE</w:t>
            </w:r>
          </w:p>
        </w:tc>
        <w:tc>
          <w:tcPr>
            <w:tcW w:type="dxa" w:w="36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install from the lihaoyang-ruc/SimCSE fork</w:t>
            </w:r>
          </w:p>
        </w:tc>
        <w:tc>
          <w:tcPr>
            <w:tcW w:type="dxa" w:w="38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Not on PyPI</w:t>
            </w:r>
          </w:p>
        </w:tc>
      </w:tr>
      <w:tr>
        <w:tc>
          <w:tcPr>
            <w:tcW w:type="dxa" w:w="16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Assets</w:t>
            </w:r>
          </w:p>
        </w:tc>
        <w:tc>
          <w:tcPr>
            <w:tcW w:type="dxa" w:w="36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download data.zip, sic_ckpts.zip, test_suite_sql_eval.zip</w:t>
            </w:r>
          </w:p>
        </w:tc>
        <w:tc>
          <w:tcPr>
            <w:tcW w:type="dxa" w:w="3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Hosted on Google Drive; rate-limited — keep a manual-download fallback</w:t>
            </w:r>
          </w:p>
        </w:tc>
      </w:tr>
      <w:tr>
        <w:tc>
          <w:tcPr>
            <w:tcW w:type="dxa" w:w="16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Evaluate</w:t>
            </w:r>
          </w:p>
        </w:tc>
        <w:tc>
          <w:tcPr>
            <w:tcW w:type="dxa" w:w="36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bash run_sft_evaluations.sh (codes-1b, spider)</w:t>
            </w:r>
          </w:p>
        </w:tc>
        <w:tc>
          <w:tcPr>
            <w:tcW w:type="dxa" w:w="38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Written for 8×A800; reduce batch size and model scale</w:t>
            </w:r>
          </w:p>
        </w:tc>
      </w:tr>
    </w:tbl>
    <w:p>
      <w:pPr>
        <w:spacing w:after="80"/>
      </w:pPr>
    </w:p>
    <w:p>
      <w:pPr>
        <w:spacing w:after="120" w:line="276"/>
      </w:pPr>
      <w:r>
        <w:rPr>
          <w:rFonts w:ascii="Calibri" w:cs="Calibri" w:eastAsia="Calibri" w:hAnsi="Calibri"/>
          <w:sz w:val="22"/>
          <w:szCs w:val="22"/>
        </w:rPr>
        <w:t xml:space="preserve">Fallback plan. If Tier 2 proves unworkable within the reproduction window, the department SOP’s Week-4 decision point permits switching to the same research group’s RESDSQL (AAAI 2023), which uses the same benchmark and released checkpoints, keeping the project inside the approved topic. Any such switch would be documented with its reason.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QueryGenie Code Reproducibility Report</dc:title>
  <dc:creator>Team 21</dc:creator>
  <cp:lastModifiedBy>Un-named</cp:lastModifiedBy>
  <cp:revision>1</cp:revision>
  <dcterms:created xsi:type="dcterms:W3CDTF">2026-08-26T14:05:23.513Z</dcterms:created>
  <dcterms:modified xsi:type="dcterms:W3CDTF">2026-08-26T14:05:23.517Z</dcterms:modified>
</cp:coreProperties>
</file>

<file path=docProps/custom.xml><?xml version="1.0" encoding="utf-8"?>
<Properties xmlns="http://schemas.openxmlformats.org/officeDocument/2006/custom-properties" xmlns:vt="http://schemas.openxmlformats.org/officeDocument/2006/docPropsVTypes"/>
</file>