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0F172A"/>
          <w:sz w:val="44"/>
        </w:rPr>
        <w:t>Credentials.OS - Enterprise Project Blueprint &amp; Sprint Plan</w:t>
      </w:r>
    </w:p>
    <w:p>
      <w:pPr>
        <w:jc w:val="center"/>
      </w:pPr>
      <w:r>
        <w:rPr>
          <w:rFonts w:ascii="Arial" w:hAnsi="Arial"/>
          <w:i/>
          <w:color w:val="64748B"/>
          <w:sz w:val="22"/>
        </w:rPr>
        <w:t>Production-Grade Multi-Tenant DB Schema &amp; Roadmap Specs</w:t>
      </w:r>
    </w:p>
    <w:p>
      <w:r>
        <w:br/>
      </w:r>
    </w:p>
    <w:p>
      <w:pPr>
        <w:pStyle w:val="Heading1"/>
      </w:pPr>
      <w:r>
        <w:rPr>
          <w:rFonts w:ascii="Georgia" w:hAnsi="Georgia"/>
          <w:b/>
          <w:color w:val="0F172A"/>
          <w:sz w:val="32"/>
        </w:rPr>
        <w:t>1. Project Sprint Plan</w:t>
      </w:r>
    </w:p>
    <w:p>
      <w:r>
        <w:t>The roadmap is structured into 4 key delivery phases to ensure stable feature onboarding and professional styling.</w:t>
      </w:r>
    </w:p>
    <w:p>
      <w:pPr>
        <w:pStyle w:val="ListBullet"/>
      </w:pPr>
      <w:r>
        <w:rPr>
          <w:rFonts w:ascii="Arial" w:hAnsi="Arial"/>
          <w:b/>
          <w:sz w:val="20"/>
        </w:rPr>
        <w:t xml:space="preserve">Sprint 1: Security &amp; Verification Ledger Integration: </w:t>
      </w:r>
      <w:r>
        <w:rPr>
          <w:rFonts w:ascii="Arial" w:hAnsi="Arial"/>
          <w:sz w:val="20"/>
        </w:rPr>
        <w:t>Deliver real, dynamic QR code generators (using qrserver API) directly bound to unique public certificate verification links. Remove static preview placeholders across the landing page, visual designer canvas, and verification panels.</w:t>
      </w:r>
    </w:p>
    <w:p>
      <w:pPr>
        <w:pStyle w:val="ListBullet"/>
      </w:pPr>
      <w:r>
        <w:rPr>
          <w:rFonts w:ascii="Arial" w:hAnsi="Arial"/>
          <w:b/>
          <w:sz w:val="20"/>
        </w:rPr>
        <w:t xml:space="preserve">Sprint 2: Core Platform &amp; Email logs Simulator: </w:t>
      </w:r>
      <w:r>
        <w:rPr>
          <w:rFonts w:ascii="Arial" w:hAnsi="Arial"/>
          <w:sz w:val="20"/>
        </w:rPr>
        <w:t>Implement the database schema modifications for simulated email dispatches. Build the interactive front-end split-screen preview tab to trace, test, and preview email notification bodies sent to recipients on bulk CSV uploads.</w:t>
      </w:r>
    </w:p>
    <w:p>
      <w:pPr>
        <w:pStyle w:val="ListBullet"/>
      </w:pPr>
      <w:r>
        <w:rPr>
          <w:rFonts w:ascii="Arial" w:hAnsi="Arial"/>
          <w:b/>
          <w:sz w:val="20"/>
        </w:rPr>
        <w:t xml:space="preserve">Sprint 3: Print Engine Stylesheets: </w:t>
      </w:r>
      <w:r>
        <w:rPr>
          <w:rFonts w:ascii="Arial" w:hAnsi="Arial"/>
          <w:sz w:val="20"/>
        </w:rPr>
        <w:t>Configure landscape print CSS media queries inside index.css. Scale certificate card container to fit US Letter/A4 standard sizes dynamically. Hide admin headers, sidebars, and control buttons during active client browser prints.</w:t>
      </w:r>
    </w:p>
    <w:p>
      <w:pPr>
        <w:pStyle w:val="ListBullet"/>
      </w:pPr>
      <w:r>
        <w:rPr>
          <w:rFonts w:ascii="Arial" w:hAnsi="Arial"/>
          <w:b/>
          <w:sz w:val="20"/>
        </w:rPr>
        <w:t xml:space="preserve">Sprint 4: Verification UI &amp; Audit Trail State Indicators: </w:t>
      </w:r>
      <w:r>
        <w:rPr>
          <w:rFonts w:ascii="Arial" w:hAnsi="Arial"/>
          <w:sz w:val="20"/>
        </w:rPr>
        <w:t>Polish the public verification screen. Implement warning cards, revocation status indicators, and ledger log timelines showing a tamper-evident audit history of all validation checks.</w:t>
      </w:r>
    </w:p>
    <w:p>
      <w:pPr>
        <w:pStyle w:val="ListBullet"/>
      </w:pPr>
      <w:r>
        <w:rPr>
          <w:rFonts w:ascii="Arial" w:hAnsi="Arial"/>
          <w:b/>
          <w:sz w:val="20"/>
        </w:rPr>
        <w:t xml:space="preserve">Post-Sprint Enhancements: URL-Based Routing &amp; Title Overrides: </w:t>
      </w:r>
      <w:r>
        <w:rPr>
          <w:rFonts w:ascii="Arial" w:hAnsi="Arial"/>
          <w:sz w:val="20"/>
        </w:rPr>
        <w:t>Replaced placeholder 'My Google AI Studio App' browser tab title with the official project name. Implemented robust URL-based query routing for workspaceId and activeTab parameter synchronization, enabling fully functional page refresh state persistence.</w:t>
      </w:r>
    </w:p>
    <w:p>
      <w:pPr>
        <w:pStyle w:val="Heading1"/>
      </w:pPr>
      <w:r>
        <w:rPr>
          <w:rFonts w:ascii="Georgia" w:hAnsi="Georgia"/>
          <w:b/>
          <w:color w:val="0F172A"/>
          <w:sz w:val="32"/>
        </w:rPr>
        <w:t>2. Database Architecture (certops_db.json)</w:t>
      </w:r>
    </w:p>
    <w:p>
      <w:r>
        <w:t>The database follows a document-store layout to handle multi-tenant settings. Below are the core object models:</w:t>
      </w:r>
    </w:p>
    <w:p>
      <w:pPr>
        <w:pStyle w:val="Heading2"/>
      </w:pPr>
      <w:r>
        <w:rPr>
          <w:rFonts w:ascii="Georgia" w:hAnsi="Georgia"/>
          <w:b/>
          <w:color w:val="1E293B"/>
          <w:sz w:val="24"/>
        </w:rPr>
        <w:t>Entity: OrganizationWorkspace</w:t>
      </w:r>
    </w:p>
    <w:p>
      <w:r>
        <w:t>Stores active workspace settings, plans, and customized white-label parameters.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Description</w:t>
            </w:r>
          </w:p>
        </w:tc>
      </w:tr>
      <w:tr>
        <w:tc>
          <w:tcPr>
            <w:tcW w:type="dxa" w:w="2880"/>
          </w:tcPr>
          <w:p>
            <w:r>
              <w:t>id (PK)</w:t>
            </w:r>
          </w:p>
        </w:tc>
        <w:tc>
          <w:tcPr>
            <w:tcW w:type="dxa" w:w="2880"/>
          </w:tcPr>
          <w:p>
            <w:r>
              <w:t>String</w:t>
            </w:r>
          </w:p>
        </w:tc>
        <w:tc>
          <w:tcPr>
            <w:tcW w:type="dxa" w:w="2880"/>
          </w:tcPr>
          <w:p>
            <w:r>
              <w:t>Unique workspace lookup key (e.g. ws-google-infra)</w:t>
            </w:r>
          </w:p>
        </w:tc>
      </w:tr>
      <w:tr>
        <w:tc>
          <w:tcPr>
            <w:tcW w:type="dxa" w:w="2880"/>
          </w:tcPr>
          <w:p>
            <w:r>
              <w:t>name</w:t>
            </w:r>
          </w:p>
        </w:tc>
        <w:tc>
          <w:tcPr>
            <w:tcW w:type="dxa" w:w="2880"/>
          </w:tcPr>
          <w:p>
            <w:r>
              <w:t>String</w:t>
            </w:r>
          </w:p>
        </w:tc>
        <w:tc>
          <w:tcPr>
            <w:tcW w:type="dxa" w:w="2880"/>
          </w:tcPr>
          <w:p>
            <w:r>
              <w:t>Organizational name of the client workspace</w:t>
            </w:r>
          </w:p>
        </w:tc>
      </w:tr>
      <w:tr>
        <w:tc>
          <w:tcPr>
            <w:tcW w:type="dxa" w:w="2880"/>
          </w:tcPr>
          <w:p>
            <w:r>
              <w:t>branding</w:t>
            </w:r>
          </w:p>
        </w:tc>
        <w:tc>
          <w:tcPr>
            <w:tcW w:type="dxa" w:w="2880"/>
          </w:tcPr>
          <w:p>
            <w:r>
              <w:t>Object</w:t>
            </w:r>
          </w:p>
        </w:tc>
        <w:tc>
          <w:tcPr>
            <w:tcW w:type="dxa" w:w="2880"/>
          </w:tcPr>
          <w:p>
            <w:r>
              <w:t>Branding colors, sender emails, domains, and footers</w:t>
            </w:r>
          </w:p>
        </w:tc>
      </w:tr>
    </w:tbl>
    <w:p>
      <w:r>
        <w:br/>
      </w:r>
    </w:p>
    <w:p>
      <w:pPr>
        <w:pStyle w:val="Heading2"/>
      </w:pPr>
      <w:r>
        <w:rPr>
          <w:rFonts w:ascii="Georgia" w:hAnsi="Georgia"/>
          <w:b/>
          <w:color w:val="1E293B"/>
          <w:sz w:val="24"/>
        </w:rPr>
        <w:t>Entity: CertificateTemplate</w:t>
      </w:r>
    </w:p>
    <w:p>
      <w:r>
        <w:t>Handles layout configurations, border widths, seals, and typography elements.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Description</w:t>
            </w:r>
          </w:p>
        </w:tc>
      </w:tr>
      <w:tr>
        <w:tc>
          <w:tcPr>
            <w:tcW w:type="dxa" w:w="2880"/>
          </w:tcPr>
          <w:p>
            <w:r>
              <w:t>id (PK)</w:t>
            </w:r>
          </w:p>
        </w:tc>
        <w:tc>
          <w:tcPr>
            <w:tcW w:type="dxa" w:w="2880"/>
          </w:tcPr>
          <w:p>
            <w:r>
              <w:t>String</w:t>
            </w:r>
          </w:p>
        </w:tc>
        <w:tc>
          <w:tcPr>
            <w:tcW w:type="dxa" w:w="2880"/>
          </w:tcPr>
          <w:p>
            <w:r>
              <w:t>Template layout identifier key</w:t>
            </w:r>
          </w:p>
        </w:tc>
      </w:tr>
      <w:tr>
        <w:tc>
          <w:tcPr>
            <w:tcW w:type="dxa" w:w="2880"/>
          </w:tcPr>
          <w:p>
            <w:r>
              <w:t>layout</w:t>
            </w:r>
          </w:p>
        </w:tc>
        <w:tc>
          <w:tcPr>
            <w:tcW w:type="dxa" w:w="2880"/>
          </w:tcPr>
          <w:p>
            <w:r>
              <w:t>String</w:t>
            </w:r>
          </w:p>
        </w:tc>
        <w:tc>
          <w:tcPr>
            <w:tcW w:type="dxa" w:w="2880"/>
          </w:tcPr>
          <w:p>
            <w:r>
              <w:t>Layout orientation: landscape or portrait</w:t>
            </w:r>
          </w:p>
        </w:tc>
      </w:tr>
      <w:tr>
        <w:tc>
          <w:tcPr>
            <w:tcW w:type="dxa" w:w="2880"/>
          </w:tcPr>
          <w:p>
            <w:r>
              <w:t>backgroundColor</w:t>
            </w:r>
          </w:p>
        </w:tc>
        <w:tc>
          <w:tcPr>
            <w:tcW w:type="dxa" w:w="2880"/>
          </w:tcPr>
          <w:p>
            <w:r>
              <w:t>String</w:t>
            </w:r>
          </w:p>
        </w:tc>
        <w:tc>
          <w:tcPr>
            <w:tcW w:type="dxa" w:w="2880"/>
          </w:tcPr>
          <w:p>
            <w:r>
              <w:t>Hex background color or gradient string token</w:t>
            </w:r>
          </w:p>
        </w:tc>
      </w:tr>
    </w:tbl>
    <w:p>
      <w:r>
        <w:br/>
      </w:r>
    </w:p>
    <w:p>
      <w:pPr>
        <w:pStyle w:val="Heading2"/>
      </w:pPr>
      <w:r>
        <w:rPr>
          <w:rFonts w:ascii="Georgia" w:hAnsi="Georgia"/>
          <w:b/>
          <w:color w:val="1E293B"/>
          <w:sz w:val="24"/>
        </w:rPr>
        <w:t>Entity: CertificateProgram</w:t>
      </w:r>
    </w:p>
    <w:p>
      <w:r>
        <w:t>Binds layout templates to specific courses, events, or learning milestones.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Description</w:t>
            </w:r>
          </w:p>
        </w:tc>
      </w:tr>
      <w:tr>
        <w:tc>
          <w:tcPr>
            <w:tcW w:type="dxa" w:w="2880"/>
          </w:tcPr>
          <w:p>
            <w:r>
              <w:t>id (PK)</w:t>
            </w:r>
          </w:p>
        </w:tc>
        <w:tc>
          <w:tcPr>
            <w:tcW w:type="dxa" w:w="2880"/>
          </w:tcPr>
          <w:p>
            <w:r>
              <w:t>String</w:t>
            </w:r>
          </w:p>
        </w:tc>
        <w:tc>
          <w:tcPr>
            <w:tcW w:type="dxa" w:w="2880"/>
          </w:tcPr>
          <w:p>
            <w:r>
              <w:t>Course program unique identifier key</w:t>
            </w:r>
          </w:p>
        </w:tc>
      </w:tr>
      <w:tr>
        <w:tc>
          <w:tcPr>
            <w:tcW w:type="dxa" w:w="2880"/>
          </w:tcPr>
          <w:p>
            <w:r>
              <w:t>name</w:t>
            </w:r>
          </w:p>
        </w:tc>
        <w:tc>
          <w:tcPr>
            <w:tcW w:type="dxa" w:w="2880"/>
          </w:tcPr>
          <w:p>
            <w:r>
              <w:t>String</w:t>
            </w:r>
          </w:p>
        </w:tc>
        <w:tc>
          <w:tcPr>
            <w:tcW w:type="dxa" w:w="2880"/>
          </w:tcPr>
          <w:p>
            <w:r>
              <w:t>Event name, e.g. Gemini Developer Mastery Program</w:t>
            </w:r>
          </w:p>
        </w:tc>
      </w:tr>
      <w:tr>
        <w:tc>
          <w:tcPr>
            <w:tcW w:type="dxa" w:w="2880"/>
          </w:tcPr>
          <w:p>
            <w:r>
              <w:t>recipientFields</w:t>
            </w:r>
          </w:p>
        </w:tc>
        <w:tc>
          <w:tcPr>
            <w:tcW w:type="dxa" w:w="2880"/>
          </w:tcPr>
          <w:p>
            <w:r>
              <w:t>Array</w:t>
            </w:r>
          </w:p>
        </w:tc>
        <w:tc>
          <w:tcPr>
            <w:tcW w:type="dxa" w:w="2880"/>
          </w:tcPr>
          <w:p>
            <w:r>
              <w:t>Dynamic columns map like Grade, Final Score, Cohort</w:t>
            </w:r>
          </w:p>
        </w:tc>
      </w:tr>
    </w:tbl>
    <w:p>
      <w:r>
        <w:br/>
      </w:r>
    </w:p>
    <w:p>
      <w:pPr>
        <w:pStyle w:val="Heading2"/>
      </w:pPr>
      <w:r>
        <w:rPr>
          <w:rFonts w:ascii="Georgia" w:hAnsi="Georgia"/>
          <w:b/>
          <w:color w:val="1E293B"/>
          <w:sz w:val="24"/>
        </w:rPr>
        <w:t>Entity: Certificate</w:t>
      </w:r>
    </w:p>
    <w:p>
      <w:r>
        <w:t>Verifiable credentials issued to recipients.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Description</w:t>
            </w:r>
          </w:p>
        </w:tc>
      </w:tr>
      <w:tr>
        <w:tc>
          <w:tcPr>
            <w:tcW w:type="dxa" w:w="2880"/>
          </w:tcPr>
          <w:p>
            <w:r>
              <w:t>id (PK)</w:t>
            </w:r>
          </w:p>
        </w:tc>
        <w:tc>
          <w:tcPr>
            <w:tcW w:type="dxa" w:w="2880"/>
          </w:tcPr>
          <w:p>
            <w:r>
              <w:t>String</w:t>
            </w:r>
          </w:p>
        </w:tc>
        <w:tc>
          <w:tcPr>
            <w:tcW w:type="dxa" w:w="2880"/>
          </w:tcPr>
          <w:p>
            <w:r>
              <w:t>Registry lookup key (e.g. CERT-2026-1014)</w:t>
            </w:r>
          </w:p>
        </w:tc>
      </w:tr>
      <w:tr>
        <w:tc>
          <w:tcPr>
            <w:tcW w:type="dxa" w:w="2880"/>
          </w:tcPr>
          <w:p>
            <w:r>
              <w:t>recipientName</w:t>
            </w:r>
          </w:p>
        </w:tc>
        <w:tc>
          <w:tcPr>
            <w:tcW w:type="dxa" w:w="2880"/>
          </w:tcPr>
          <w:p>
            <w:r>
              <w:t>String</w:t>
            </w:r>
          </w:p>
        </w:tc>
        <w:tc>
          <w:tcPr>
            <w:tcW w:type="dxa" w:w="2880"/>
          </w:tcPr>
          <w:p>
            <w:r>
              <w:t>Name of the credential owner</w:t>
            </w:r>
          </w:p>
        </w:tc>
      </w:tr>
      <w:tr>
        <w:tc>
          <w:tcPr>
            <w:tcW w:type="dxa" w:w="2880"/>
          </w:tcPr>
          <w:p>
            <w:r>
              <w:t>status</w:t>
            </w:r>
          </w:p>
        </w:tc>
        <w:tc>
          <w:tcPr>
            <w:tcW w:type="dxa" w:w="2880"/>
          </w:tcPr>
          <w:p>
            <w:r>
              <w:t>String</w:t>
            </w:r>
          </w:p>
        </w:tc>
        <w:tc>
          <w:tcPr>
            <w:tcW w:type="dxa" w:w="2880"/>
          </w:tcPr>
          <w:p>
            <w:r>
              <w:t>Active state: valid, revoked, expired</w:t>
            </w:r>
          </w:p>
        </w:tc>
      </w:tr>
      <w:tr>
        <w:tc>
          <w:tcPr>
            <w:tcW w:type="dxa" w:w="2880"/>
          </w:tcPr>
          <w:p>
            <w:r>
              <w:t>securityHash</w:t>
            </w:r>
          </w:p>
        </w:tc>
        <w:tc>
          <w:tcPr>
            <w:tcW w:type="dxa" w:w="2880"/>
          </w:tcPr>
          <w:p>
            <w:r>
              <w:t>String</w:t>
            </w:r>
          </w:p>
        </w:tc>
        <w:tc>
          <w:tcPr>
            <w:tcW w:type="dxa" w:w="2880"/>
          </w:tcPr>
          <w:p>
            <w:r>
              <w:t>Cryptographic authenticity verification stamp</w:t>
            </w:r>
          </w:p>
        </w:tc>
      </w:tr>
    </w:tbl>
    <w:p>
      <w:r>
        <w:br/>
      </w:r>
    </w:p>
    <w:p>
      <w:pPr>
        <w:pStyle w:val="Heading1"/>
      </w:pPr>
      <w:r>
        <w:rPr>
          <w:rFonts w:ascii="Georgia" w:hAnsi="Georgia"/>
          <w:b/>
          <w:color w:val="0F172A"/>
          <w:sz w:val="32"/>
        </w:rPr>
        <w:t>3. Verification Protocol Flow</w:t>
      </w:r>
    </w:p>
    <w:p>
      <w:pPr>
        <w:pStyle w:val="ListNumber"/>
      </w:pPr>
      <w:r>
        <w:t>Step 1: Auditor scans the dynamic QR code on the certificate or accesses the unique URL.</w:t>
      </w:r>
    </w:p>
    <w:p>
      <w:pPr>
        <w:pStyle w:val="ListNumber"/>
      </w:pPr>
      <w:r>
        <w:t>Step 2: Client UI loads the hash path (/#credential=CERT-2026-1014) and initiates a background fetch to the registry.</w:t>
      </w:r>
    </w:p>
    <w:p>
      <w:pPr>
        <w:pStyle w:val="ListNumber"/>
      </w:pPr>
      <w:r>
        <w:t>Step 3: Server fetches the permanent document record from the database ledger, cross-matching active signatures.</w:t>
      </w:r>
    </w:p>
    <w:p>
      <w:pPr>
        <w:pStyle w:val="ListNumber"/>
      </w:pPr>
      <w:r>
        <w:t>Step 4: Real-time Signature Audit Check verification confirms the tamper-proof sha256 hash and updates verification logs.</w:t>
      </w:r>
    </w:p>
    <w:p>
      <w:r>
        <w:br/>
      </w:r>
    </w:p>
    <w:p>
      <w:pPr>
        <w:pStyle w:val="Heading1"/>
      </w:pPr>
      <w:r>
        <w:rPr>
          <w:rFonts w:ascii="Georgia" w:hAnsi="Georgia"/>
          <w:b/>
          <w:color w:val="0F172A"/>
          <w:sz w:val="32"/>
        </w:rPr>
        <w:t>4. Advanced PostgreSQL Database Architecture</w:t>
      </w:r>
    </w:p>
    <w:p>
      <w:r>
        <w:t>For production scale, we design a relational PostgreSQL 16 schema featuring JSONB indexing, DDL schemas, and rate-limiting triggers.</w:t>
      </w:r>
    </w:p>
    <w:p>
      <w:r>
        <w:rPr>
          <w:rFonts w:ascii="Arial" w:hAnsi="Arial"/>
          <w:sz w:val="19"/>
        </w:rPr>
        <w:t>Core Tables &amp; DDL Indexes:</w:t>
        <w:br/>
        <w:br/>
        <w:t>1. tenants: Workspace configuration with custom domain indexes.</w:t>
        <w:br/>
        <w:t>2. templates: Layout geometry config storing JSONB parameters.</w:t>
        <w:br/>
        <w:t>3. programs: Course milestone indexes.</w:t>
        <w:br/>
        <w:t>4. certificates: Registry entries with GIN custom field indexes.</w:t>
        <w:br/>
        <w:t>5. revocation_registry: State nullification audit indexes.</w:t>
        <w:br/>
        <w:t>6. verification_audit_logs: Event logs index.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