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sz w:val="4"/>
          <w:szCs w:val="4"/>
        </w:rPr>
        <w:t xml:space="preserve"/>
      </w:r>
    </w:p>
    <w:p>
      <w:pPr>
        <w:spacing w:before="0" w:after="120"/>
        <w:jc w:val="center"/>
      </w:pPr>
      <w:r>
        <w:rPr>
          <w:rFonts w:ascii="Arial" w:cs="Arial" w:eastAsia="Arial" w:hAnsi="Arial"/>
          <w:b/>
          <w:bCs/>
          <w:color w:val="1F4E79"/>
          <w:sz w:val="52"/>
          <w:szCs w:val="52"/>
        </w:rPr>
        <w:t xml:space="preserve">RETAIL BANKING PORTFOLIO</w:t>
      </w:r>
    </w:p>
    <w:p>
      <w:pPr>
        <w:spacing w:before="0" w:after="320"/>
        <w:jc w:val="center"/>
      </w:pPr>
      <w:r>
        <w:rPr>
          <w:rFonts w:ascii="Arial" w:cs="Arial" w:eastAsia="Arial" w:hAnsi="Arial"/>
          <w:b/>
          <w:bCs/>
          <w:color w:val="1F4E79"/>
          <w:sz w:val="52"/>
          <w:szCs w:val="52"/>
        </w:rPr>
        <w:t xml:space="preserve">CREDIT RISK SQL ANALYSIS</w:t>
      </w:r>
    </w:p>
    <w:p>
      <w:pPr>
        <w:spacing w:before="0" w:after="120"/>
        <w:jc w:val="center"/>
      </w:pPr>
      <w:r>
        <w:rPr>
          <w:rFonts w:ascii="Arial" w:cs="Arial" w:eastAsia="Arial" w:hAnsi="Arial"/>
          <w:color w:val="555555"/>
          <w:sz w:val="26"/>
          <w:szCs w:val="26"/>
        </w:rPr>
        <w:t xml:space="preserve">Controlled Realism v5.2  |  Audit-Verified Edition</w:t>
      </w:r>
    </w:p>
    <w:p>
      <w:pPr>
        <w:spacing w:before="0" w:after="500"/>
        <w:jc w:val="center"/>
      </w:pPr>
      <w:r>
        <w:rPr>
          <w:rFonts w:ascii="Arial" w:cs="Arial" w:eastAsia="Arial" w:hAnsi="Arial"/>
          <w:color w:val="777777"/>
          <w:sz w:val="22"/>
          <w:szCs w:val="22"/>
        </w:rPr>
        <w:t xml:space="preserve">18 Analyses  |  123,674 Loans  |  Rs 1,78,592 Cr Exposure  |  1,484,088 Loan-Month Observations</w:t>
      </w:r>
    </w:p>
    <w:p>
      <w:pPr>
        <w:pBdr>
          <w:bottom w:val="single" w:color="CCCCCC" w:sz="4"/>
        </w:pBdr>
        <w:spacing w:before="140" w:after="140"/>
      </w:pPr>
      <w:r>
        <w:t xml:space="preserve"/>
      </w:r>
    </w:p>
    <w:p>
      <w:pPr>
        <w:spacing w:before="180" w:after="100"/>
      </w:pPr>
      <w:r>
        <w:rPr>
          <w:rFonts w:ascii="Arial" w:cs="Arial" w:eastAsia="Arial" w:hAnsi="Arial"/>
          <w:b/>
          <w:bCs/>
          <w:color w:val="1F4E79"/>
          <w:sz w:val="26"/>
          <w:szCs w:val="26"/>
        </w:rPr>
        <w:t xml:space="preserve">Portfolio Narrative</w:t>
      </w:r>
    </w:p>
    <w:p>
      <w:pPr>
        <w:spacing w:before="0" w:after="280"/>
      </w:pPr>
      <w:r>
        <w:rPr>
          <w:rFonts w:ascii="Arial" w:cs="Arial" w:eastAsia="Arial" w:hAnsi="Arial"/>
          <w:color w:val="1A1A2E"/>
          <w:sz w:val="20"/>
          <w:szCs w:val="20"/>
        </w:rPr>
        <w:t xml:space="preserve">Retail banking credit risk portfolio of 123,674 loans across 15 branches and 4 origination cohorts (2021-2024). 18 analyses across 1,484,088 loan-month observations covering Rs 1,78,592 Cr in exposure with Rs 3,895 Cr expected loss. Portfolio demonstrates progressive NPA build from 0% at month 1 to 1.15% at month 12, with the 2023 stress cohort showing 2.4x higher NPA than 2021/2022 cohorts. Rural branches exhibit 3.6x higher NPA than urban. Transition matrix confirms 43% 90DPD-to-NPA conversion with 47% early-stage cure rate. Personal loans carry the highest per-rupee loss density at 4.055% while Home loans dominate absolute expected loss due to exposure size.</w:t>
      </w:r>
    </w:p>
    <w:p>
      <w:pPr>
        <w:pBdr>
          <w:bottom w:val="single" w:color="CCCCCC" w:sz="4"/>
        </w:pBdr>
        <w:spacing w:before="140" w:after="140"/>
      </w:pPr>
      <w:r>
        <w:t xml:space="preserve"/>
      </w:r>
    </w:p>
    <w:p>
      <w:pPr>
        <w:spacing w:before="180" w:after="100"/>
      </w:pPr>
      <w:r>
        <w:rPr>
          <w:rFonts w:ascii="Arial" w:cs="Arial" w:eastAsia="Arial" w:hAnsi="Arial"/>
          <w:b/>
          <w:bCs/>
          <w:color w:val="1F4E79"/>
          <w:sz w:val="24"/>
          <w:szCs w:val="24"/>
        </w:rPr>
        <w:t xml:space="preserve">Simulation Methodology Note</w:t>
      </w:r>
    </w:p>
    <w:p>
      <w:pPr>
        <w:spacing w:before="0" w:after="360"/>
      </w:pPr>
      <w:r>
        <w:rPr>
          <w:rFonts w:ascii="Arial" w:cs="Arial" w:eastAsia="Arial" w:hAnsi="Arial"/>
          <w:color w:val="1A1A2E"/>
          <w:sz w:val="19"/>
          <w:szCs w:val="19"/>
        </w:rPr>
        <w:t xml:space="preserve">This portfolio is generated using a controlled realism simulation (v5.2). Key modelling assumptions: (1) PD is assigned at origination based on credit score band (14% / 7% / 3% / 1%), customer segment multiplier (1.3x for Segment A), and branch risk factor (0.85 to 1.35). (2) Macro stress is modelled through transition probability multipliers — 2023 at 1.4x, 2024 at 1.1x — rather than PD shifts. This means average PD is nearly constant across origination years while NPA rates differ significantly. (3) Collateral is uniformly modelled at 80-150% of loan amount — a simplification that does not reflect product-level variation in real portfolios. (4) Cure rate uses a single-month definition: a loan returning to Current in one month is counted as cured regardless of subsequent behaviour.</w:t>
      </w:r>
    </w:p>
    <w:p>
      <w:r>
        <w:br w:type="page"/>
      </w:r>
    </w:p>
    <w:p>
      <w:pPr>
        <w:spacing w:before="160" w:after="240"/>
      </w:pPr>
      <w:r>
        <w:rPr>
          <w:rFonts w:ascii="Arial" w:cs="Arial" w:eastAsia="Arial" w:hAnsi="Arial"/>
          <w:b/>
          <w:bCs/>
          <w:color w:val="1F4E79"/>
          <w:sz w:val="32"/>
          <w:szCs w:val="32"/>
        </w:rPr>
        <w:t xml:space="preserve">Analysis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1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Analysis Title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 Exposure Overview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02</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 Risk Distribution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Risk Concentration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04</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Customer Credit Score Segmentation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Expected Loss Contribution Analysis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06</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Collateral Coverage Analysis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Interest Rate Risk by Loan Type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08</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Delinquency Rate Analysis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09</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State Distribution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Vintage Analysis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Monthly Portfolio Growth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Risk Factor Impact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Risk Analysis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NPA Trend by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14</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Roll Rate Transition Matrix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Cure Rate Analysis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16</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Macro Year Effect on NPA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Region Type NPA Analysis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Loss Density Analysis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Risk Monitoring</w:t>
            </w:r>
          </w:p>
        </w:tc>
      </w:tr>
    </w:tbl>
    <w:p>
      <w:r>
        <w:br w:type="page"/>
      </w:r>
    </w:p>
    <w:p>
      <w:pPr>
        <w:keepNext/>
        <w:shd w:fill="1F4E79" w:val="clear"/>
        <w:spacing w:before="0" w:after="0"/>
        <w:ind w:left="180" w:right="180"/>
      </w:pPr>
      <w:r>
        <w:rPr>
          <w:rFonts w:ascii="Arial" w:cs="Arial" w:eastAsia="Arial" w:hAnsi="Arial"/>
          <w:b/>
          <w:bCs/>
          <w:color w:val="FFFFFF"/>
          <w:sz w:val="28"/>
          <w:szCs w:val="28"/>
        </w:rPr>
        <w:t xml:space="preserve">Analysis 01  —  Portfolio Exposure Overview</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establish the overall size, exposure, and risk profile of the retail banking loan portfolio. This analysis distinguishes between loan count (operational scale) and EAD (actual risk exposure) — two metrics that tell materially different stories in a mixed retail book.</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COUNT(loan_id)                          AS loan_count,</w:t>
            </w:r>
          </w:p>
          <w:p>
            <w:pPr>
              <w:spacing w:before="16" w:after="16"/>
            </w:pPr>
            <w:r>
              <w:rPr>
                <w:rFonts w:ascii="Courier New" w:cs="Courier New" w:eastAsia="Courier New" w:hAnsi="Courier New"/>
                <w:color w:val="A8D8A8"/>
                <w:sz w:val="17"/>
                <w:szCs w:val="17"/>
              </w:rPr>
              <w:t xml:space="preserve">    ROUND(SUM(ead)::numeric, 0)             AS total_ead,</w:t>
            </w:r>
          </w:p>
          <w:p>
            <w:pPr>
              <w:spacing w:before="16" w:after="16"/>
            </w:pPr>
            <w:r>
              <w:rPr>
                <w:rFonts w:ascii="Courier New" w:cs="Courier New" w:eastAsia="Courier New" w:hAnsi="Courier New"/>
                <w:color w:val="A8D8A8"/>
                <w:sz w:val="17"/>
                <w:szCs w:val="17"/>
              </w:rPr>
              <w:t xml:space="preserve">    ROUND(SUM(expected_loss)::numeric, 0)   AS total_expected_loss,</w:t>
            </w:r>
          </w:p>
          <w:p>
            <w:pPr>
              <w:spacing w:before="16" w:after="16"/>
            </w:pPr>
            <w:r>
              <w:rPr>
                <w:rFonts w:ascii="Courier New" w:cs="Courier New" w:eastAsia="Courier New" w:hAnsi="Courier New"/>
                <w:color w:val="A8D8A8"/>
                <w:sz w:val="17"/>
                <w:szCs w:val="17"/>
              </w:rPr>
              <w:t xml:space="preserve">    ROUND(AVG(pd) * 100, 3)                 AS avg_pd_percent,</w:t>
            </w:r>
          </w:p>
          <w:p>
            <w:pPr>
              <w:spacing w:before="16" w:after="16"/>
            </w:pPr>
            <w:r>
              <w:rPr>
                <w:rFonts w:ascii="Courier New" w:cs="Courier New" w:eastAsia="Courier New" w:hAnsi="Courier New"/>
                <w:color w:val="A8D8A8"/>
                <w:sz w:val="17"/>
                <w:szCs w:val="17"/>
              </w:rPr>
              <w:t xml:space="preserve">    ROUND(AVG(lgd) * 100, 3)               AS avg_lgd_percent,</w:t>
            </w:r>
          </w:p>
          <w:p>
            <w:pPr>
              <w:spacing w:before="16" w:after="16"/>
            </w:pPr>
            <w:r>
              <w:rPr>
                <w:rFonts w:ascii="Courier New" w:cs="Courier New" w:eastAsia="Courier New" w:hAnsi="Courier New"/>
                <w:color w:val="A8D8A8"/>
                <w:sz w:val="17"/>
                <w:szCs w:val="17"/>
              </w:rPr>
              <w:t xml:space="preserve">    ROUND(AVG(interest_rate), 3)            AS avg_interest_rate</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EAD and ticket size by loan type</w:t>
            </w:r>
          </w:p>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loan_type,</w:t>
            </w:r>
          </w:p>
          <w:p>
            <w:pPr>
              <w:spacing w:before="16" w:after="16"/>
            </w:pPr>
            <w:r>
              <w:rPr>
                <w:rFonts w:ascii="Courier New" w:cs="Courier New" w:eastAsia="Courier New" w:hAnsi="Courier New"/>
                <w:color w:val="A8D8A8"/>
                <w:sz w:val="17"/>
                <w:szCs w:val="17"/>
              </w:rPr>
              <w:t xml:space="preserve">    COUNT(loan_id)                          AS loan_count,</w:t>
            </w:r>
          </w:p>
          <w:p>
            <w:pPr>
              <w:spacing w:before="16" w:after="16"/>
            </w:pPr>
            <w:r>
              <w:rPr>
                <w:rFonts w:ascii="Courier New" w:cs="Courier New" w:eastAsia="Courier New" w:hAnsi="Courier New"/>
                <w:color w:val="A8D8A8"/>
                <w:sz w:val="17"/>
                <w:szCs w:val="17"/>
              </w:rPr>
              <w:t xml:space="preserve">    ROUND(SUM(ead)::numeric, 0)             AS total_ead,</w:t>
            </w:r>
          </w:p>
          <w:p>
            <w:pPr>
              <w:spacing w:before="16" w:after="16"/>
            </w:pPr>
            <w:r>
              <w:rPr>
                <w:rFonts w:ascii="Courier New" w:cs="Courier New" w:eastAsia="Courier New" w:hAnsi="Courier New"/>
                <w:color w:val="A8D8A8"/>
                <w:sz w:val="17"/>
                <w:szCs w:val="17"/>
              </w:rPr>
              <w:t xml:space="preserve">    ROUND(AVG(loan_amount)::numeric, 0)     AS avg_ticket_size</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loan_type</w:t>
            </w:r>
          </w:p>
          <w:p>
            <w:pPr>
              <w:spacing w:before="16" w:after="16"/>
            </w:pPr>
            <w:r>
              <w:rPr>
                <w:rFonts w:ascii="Courier New" w:cs="Courier New" w:eastAsia="Courier New" w:hAnsi="Courier New"/>
                <w:color w:val="A8D8A8"/>
                <w:sz w:val="17"/>
                <w:szCs w:val="17"/>
              </w:rPr>
              <w:t xml:space="preserve">ORDER BY total_ead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Total Loans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123,674</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Total EAD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1,78,592 Cr</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Total Expected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3,895 Cr</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Average PD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5.723%</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Average LGD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49.506%</w:t>
            </w:r>
          </w:p>
        </w:tc>
      </w:tr>
      <w:tr>
        <w:trPr>
          <w:cantSplit/>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Avg Interest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11.4%</w:t>
            </w:r>
          </w:p>
        </w:tc>
      </w:tr>
    </w:tbl>
    <w:p>
      <w:pPr>
        <w:spacing w:before="80" w:after="0"/>
      </w:pPr>
      <w:r>
        <w:rPr>
          <w:sz w:val="4"/>
          <w:szCs w:val="4"/>
        </w:rPr>
        <w:t xml:space="preserve"/>
      </w:r>
    </w:p>
    <w:p>
      <w:pPr>
        <w:keepNext/>
        <w:spacing w:before="60" w:after="60"/>
      </w:pPr>
      <w:r>
        <w:rPr>
          <w:rFonts w:ascii="Arial" w:cs="Arial" w:eastAsia="Arial" w:hAnsi="Arial"/>
          <w:b/>
          <w:bCs/>
          <w:color w:val="1A1A2E"/>
          <w:sz w:val="20"/>
          <w:szCs w:val="20"/>
        </w:rPr>
        <w:t xml:space="preserve">EAD and Ticket Size by Loan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Count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EAD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Ticket Size</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37,133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1,08,777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31.6 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18,419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32,356 Cr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18.9 L</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24,853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22,428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9.7 L</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30,862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9,057 Cr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3.2 L</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5,974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5.2 L</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The portfolio contains 123,674 active loans across 15 branches with total EAD of Rs 1,78,592 Cr.</w:t>
      </w:r>
    </w:p>
    <w:p>
      <w:pPr>
        <w:pStyle w:val="ListParagraph"/>
        <w:numPr>
          <w:ilvl w:val="0"/>
          <w:numId w:val="2"/>
        </w:numPr>
        <w:spacing w:before="50" w:after="50"/>
      </w:pPr>
      <w:r>
        <w:rPr>
          <w:rFonts w:ascii="Arial" w:cs="Arial" w:eastAsia="Arial" w:hAnsi="Arial"/>
          <w:color w:val="1A1A2E"/>
          <w:sz w:val="20"/>
          <w:szCs w:val="20"/>
        </w:rPr>
        <w:t xml:space="preserve">Total expected loss of Rs 3,895 Cr represents 2.18% of total EAD — within acceptable bounds for a mixed retail book spanning subprime to super-prime borrowers.</w:t>
      </w:r>
    </w:p>
    <w:p>
      <w:pPr>
        <w:pStyle w:val="ListParagraph"/>
        <w:numPr>
          <w:ilvl w:val="0"/>
          <w:numId w:val="2"/>
        </w:numPr>
        <w:spacing w:before="50" w:after="50"/>
      </w:pPr>
      <w:r>
        <w:rPr>
          <w:rFonts w:ascii="Arial" w:cs="Arial" w:eastAsia="Arial" w:hAnsi="Arial"/>
          <w:color w:val="1A1A2E"/>
          <w:sz w:val="20"/>
          <w:szCs w:val="20"/>
        </w:rPr>
        <w:t xml:space="preserve">Home loans dominate exposure at Rs 1,08,777 Cr (61% of total EAD) despite being only 30% of loan count — driven by an average ticket size of Rs 31.6 L.</w:t>
      </w:r>
    </w:p>
    <w:p>
      <w:pPr>
        <w:pStyle w:val="ListParagraph"/>
        <w:numPr>
          <w:ilvl w:val="0"/>
          <w:numId w:val="2"/>
        </w:numPr>
        <w:spacing w:before="50" w:after="50"/>
      </w:pPr>
      <w:r>
        <w:rPr>
          <w:rFonts w:ascii="Arial" w:cs="Arial" w:eastAsia="Arial" w:hAnsi="Arial"/>
          <w:color w:val="1A1A2E"/>
          <w:sz w:val="20"/>
          <w:szCs w:val="20"/>
        </w:rPr>
        <w:t xml:space="preserve">Personal loans are numerous at 30,862 loans but contribute only Rs 9,057 Cr EAD — their average ticket of Rs 3.2 L is 10 times smaller than Home loans.</w:t>
      </w:r>
    </w:p>
    <w:p>
      <w:pPr>
        <w:pStyle w:val="ListParagraph"/>
        <w:numPr>
          <w:ilvl w:val="0"/>
          <w:numId w:val="2"/>
        </w:numPr>
        <w:spacing w:before="50" w:after="50"/>
      </w:pPr>
      <w:r>
        <w:rPr>
          <w:rFonts w:ascii="Arial" w:cs="Arial" w:eastAsia="Arial" w:hAnsi="Arial"/>
          <w:color w:val="1A1A2E"/>
          <w:sz w:val="20"/>
          <w:szCs w:val="20"/>
        </w:rPr>
        <w:t xml:space="preserve">Loan count and EAD tell fundamentally different risk stories in this portfolio.</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Loan count measures operational scale. EAD measures actual credit risk exposure. A portfolio with fewer large home loans carries more risk than many small personal loans. Analyses in this document use EAD as the primary exposure metric.</w:t>
      </w:r>
    </w:p>
    <w:p>
      <w:pPr>
        <w:pStyle w:val="ListParagraph"/>
        <w:numPr>
          <w:ilvl w:val="0"/>
          <w:numId w:val="3"/>
        </w:numPr>
        <w:spacing w:before="40" w:after="40"/>
      </w:pPr>
      <w:r>
        <w:rPr>
          <w:rFonts w:ascii="Arial" w:cs="Arial" w:eastAsia="Arial" w:hAnsi="Arial"/>
          <w:i/>
          <w:iCs/>
          <w:color w:val="444444"/>
          <w:sz w:val="18"/>
          <w:szCs w:val="18"/>
        </w:rPr>
        <w:t xml:space="preserve">Average PD of 5.7% is consistent across the book. Risk differentiation is driven primarily by LGD variation across products, branch risk factors, and macro transition multipliers — not by PD heterogeneity.</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Home loans dominate this portfolio by exposure despite being 30% of loan count. Personal loans are the opposite — numerous but low-exposure. Any risk analysis relying on loan count as the primary metric will understate the true concentration risk in this portfolio.</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02  —  Loan Type Risk Distribution</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analyse credit risk across lending products using the full Expected Loss formula: EL = PD x LGD x EAD. This three-factor decomposition reveals whether a product is risky due to default probability, loss severity, or exposure size.</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loan_type,</w:t>
            </w:r>
          </w:p>
          <w:p>
            <w:pPr>
              <w:spacing w:before="16" w:after="16"/>
            </w:pPr>
            <w:r>
              <w:rPr>
                <w:rFonts w:ascii="Courier New" w:cs="Courier New" w:eastAsia="Courier New" w:hAnsi="Courier New"/>
                <w:color w:val="A8D8A8"/>
                <w:sz w:val="17"/>
                <w:szCs w:val="17"/>
              </w:rPr>
              <w:t xml:space="preserve">    COUNT(loan_id)                          AS total_loans,</w:t>
            </w:r>
          </w:p>
          <w:p>
            <w:pPr>
              <w:spacing w:before="16" w:after="16"/>
            </w:pPr>
            <w:r>
              <w:rPr>
                <w:rFonts w:ascii="Courier New" w:cs="Courier New" w:eastAsia="Courier New" w:hAnsi="Courier New"/>
                <w:color w:val="A8D8A8"/>
                <w:sz w:val="17"/>
                <w:szCs w:val="17"/>
              </w:rPr>
              <w:t xml:space="preserve">    ROUND(AVG(pd) * 100, 3)                 AS avg_pd_percent,</w:t>
            </w:r>
          </w:p>
          <w:p>
            <w:pPr>
              <w:spacing w:before="16" w:after="16"/>
            </w:pPr>
            <w:r>
              <w:rPr>
                <w:rFonts w:ascii="Courier New" w:cs="Courier New" w:eastAsia="Courier New" w:hAnsi="Courier New"/>
                <w:color w:val="A8D8A8"/>
                <w:sz w:val="17"/>
                <w:szCs w:val="17"/>
              </w:rPr>
              <w:t xml:space="preserve">    ROUND(AVG(lgd) * 100, 3)               AS avg_lgd_percent,</w:t>
            </w:r>
          </w:p>
          <w:p>
            <w:pPr>
              <w:spacing w:before="16" w:after="16"/>
            </w:pPr>
            <w:r>
              <w:rPr>
                <w:rFonts w:ascii="Courier New" w:cs="Courier New" w:eastAsia="Courier New" w:hAnsi="Courier New"/>
                <w:color w:val="A8D8A8"/>
                <w:sz w:val="17"/>
                <w:szCs w:val="17"/>
              </w:rPr>
              <w:t xml:space="preserve">    ROUND(SUM(ead)::numeric, 0)             AS total_ead,</w:t>
            </w:r>
          </w:p>
          <w:p>
            <w:pPr>
              <w:spacing w:before="16" w:after="16"/>
            </w:pPr>
            <w:r>
              <w:rPr>
                <w:rFonts w:ascii="Courier New" w:cs="Courier New" w:eastAsia="Courier New" w:hAnsi="Courier New"/>
                <w:color w:val="A8D8A8"/>
                <w:sz w:val="17"/>
                <w:szCs w:val="17"/>
              </w:rPr>
              <w:t xml:space="preserve">    ROUND(SUM(expected_loss)::numeric, 0)   AS total_expected_loss</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loan_type</w:t>
            </w:r>
          </w:p>
          <w:p>
            <w:pPr>
              <w:spacing w:before="16" w:after="16"/>
            </w:pPr>
            <w:r>
              <w:rPr>
                <w:rFonts w:ascii="Courier New" w:cs="Courier New" w:eastAsia="Courier New" w:hAnsi="Courier New"/>
                <w:color w:val="A8D8A8"/>
                <w:sz w:val="17"/>
                <w:szCs w:val="17"/>
              </w:rPr>
              <w:t xml:space="preserve">ORDER BY total_expected_loss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LGD%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EAD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 Loss</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37,133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1,08,777 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1,749 Cr</w:t>
            </w:r>
          </w:p>
        </w:tc>
      </w:tr>
      <w:tr>
        <w:trPr>
          <w:cantSplit/>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18,419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32,356 Cr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1,056 Cr</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24,853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22,428 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545 Cr</w:t>
            </w:r>
          </w:p>
        </w:tc>
      </w:tr>
      <w:tr>
        <w:trPr>
          <w:cantSplit/>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30,862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72.5%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9,057 Cr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367 Cr</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5,974 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178 Cr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Home loans generate the highest EL at Rs 1,749 Cr (44.9%) driven entirely by exposure size — their PD and LGD are the lowest in the portfolio.</w:t>
      </w:r>
    </w:p>
    <w:p>
      <w:pPr>
        <w:pStyle w:val="ListParagraph"/>
        <w:numPr>
          <w:ilvl w:val="0"/>
          <w:numId w:val="2"/>
        </w:numPr>
        <w:spacing w:before="50" w:after="50"/>
      </w:pPr>
      <w:r>
        <w:rPr>
          <w:rFonts w:ascii="Arial" w:cs="Arial" w:eastAsia="Arial" w:hAnsi="Arial"/>
          <w:color w:val="1A1A2E"/>
          <w:sz w:val="20"/>
          <w:szCs w:val="20"/>
        </w:rPr>
        <w:t xml:space="preserve">Personal loans carry the highest per-rupee loss density at 4.055% — driven by unsecured high-LGD exposure. Business loans have the highest loss density among large-exposure products at 3.265%, making them the most capital-intensive secured lending product.</w:t>
      </w:r>
    </w:p>
    <w:p>
      <w:pPr>
        <w:pStyle w:val="ListParagraph"/>
        <w:numPr>
          <w:ilvl w:val="0"/>
          <w:numId w:val="2"/>
        </w:numPr>
        <w:spacing w:before="50" w:after="50"/>
      </w:pPr>
      <w:r>
        <w:rPr>
          <w:rFonts w:ascii="Arial" w:cs="Arial" w:eastAsia="Arial" w:hAnsi="Arial"/>
          <w:color w:val="1A1A2E"/>
          <w:sz w:val="20"/>
          <w:szCs w:val="20"/>
        </w:rPr>
        <w:t xml:space="preserve">Personal loans carry the highest LGD at 72.5% due to their unsecured nature, but low ticket size limits absolute EL contribution to Rs 367 Cr.</w:t>
      </w:r>
    </w:p>
    <w:p>
      <w:pPr>
        <w:pStyle w:val="ListParagraph"/>
        <w:numPr>
          <w:ilvl w:val="0"/>
          <w:numId w:val="2"/>
        </w:numPr>
        <w:spacing w:before="50" w:after="50"/>
      </w:pPr>
      <w:r>
        <w:rPr>
          <w:rFonts w:ascii="Arial" w:cs="Arial" w:eastAsia="Arial" w:hAnsi="Arial"/>
          <w:color w:val="1A1A2E"/>
          <w:sz w:val="20"/>
          <w:szCs w:val="20"/>
        </w:rPr>
        <w:t xml:space="preserve">PD is relatively uniform across products (5.70-5.76%) — product risk differentiation is driven by LGD, not default probability.</w:t>
      </w:r>
    </w:p>
    <w:p>
      <w:pPr>
        <w:pStyle w:val="ListParagraph"/>
        <w:numPr>
          <w:ilvl w:val="0"/>
          <w:numId w:val="2"/>
        </w:numPr>
        <w:spacing w:before="50" w:after="50"/>
      </w:pPr>
      <w:r>
        <w:rPr>
          <w:rFonts w:ascii="Arial" w:cs="Arial" w:eastAsia="Arial" w:hAnsi="Arial"/>
          <w:color w:val="1A1A2E"/>
          <w:sz w:val="20"/>
          <w:szCs w:val="20"/>
        </w:rPr>
        <w:t xml:space="preserve">The EL decomposition confirms that LGD is the key differentiating risk factor across loan types in this portfolio.</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PD values are nearly uniform across products because origination-year macro risk multipliers — not loan type — are the primary PD driver in this simulation. Product risk is differentiated through LGD assumptions which vary from 29% (Home) to 72.5% (Personal). See Analysis 18 for explicit per-rupee loss density calculation by product.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EL decomposition reveals that Home loans dominate total loss due to exposure size, not risk quality. Personal loans carry the highest per-rupee loss density (4.055%) due to unsecured high-LGD exposure. Business loans are the most loss-intensive secured product at 3.265% loss density — high LGD combined with moderate PD makes them the most capital-intensive product per rupee lent. Risk management resources should prioritise Business loan underwriting and monitoring despite their smaller share of total originations.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03  —  Branch Risk Concentration</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identify credit risk concentration across 15 branches segmented by group and region type. This analysis distinguishes between observed portfolio patterns and their underlying causes — borrower quality versus credit policy parameters.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fl.branch_id,</w:t>
            </w:r>
          </w:p>
          <w:p>
            <w:pPr>
              <w:spacing w:before="16" w:after="16"/>
            </w:pPr>
            <w:r>
              <w:rPr>
                <w:rFonts w:ascii="Courier New" w:cs="Courier New" w:eastAsia="Courier New" w:hAnsi="Courier New"/>
                <w:color w:val="A8D8A8"/>
                <w:sz w:val="17"/>
                <w:szCs w:val="17"/>
              </w:rPr>
              <w:t xml:space="preserve">    db.branch_group,</w:t>
            </w:r>
          </w:p>
          <w:p>
            <w:pPr>
              <w:spacing w:before="16" w:after="16"/>
            </w:pPr>
            <w:r>
              <w:rPr>
                <w:rFonts w:ascii="Courier New" w:cs="Courier New" w:eastAsia="Courier New" w:hAnsi="Courier New"/>
                <w:color w:val="A8D8A8"/>
                <w:sz w:val="17"/>
                <w:szCs w:val="17"/>
              </w:rPr>
              <w:t xml:space="preserve">    db.region_type,</w:t>
            </w:r>
          </w:p>
          <w:p>
            <w:pPr>
              <w:spacing w:before="16" w:after="16"/>
            </w:pPr>
            <w:r>
              <w:rPr>
                <w:rFonts w:ascii="Courier New" w:cs="Courier New" w:eastAsia="Courier New" w:hAnsi="Courier New"/>
                <w:color w:val="A8D8A8"/>
                <w:sz w:val="17"/>
                <w:szCs w:val="17"/>
              </w:rPr>
              <w:t xml:space="preserve">    COUNT(fl.loan_id)                        AS total_loans,</w:t>
            </w:r>
          </w:p>
          <w:p>
            <w:pPr>
              <w:spacing w:before="16" w:after="16"/>
            </w:pPr>
            <w:r>
              <w:rPr>
                <w:rFonts w:ascii="Courier New" w:cs="Courier New" w:eastAsia="Courier New" w:hAnsi="Courier New"/>
                <w:color w:val="A8D8A8"/>
                <w:sz w:val="17"/>
                <w:szCs w:val="17"/>
              </w:rPr>
              <w:t xml:space="preserve">    ROUND(SUM(fl.ead)::numeric, 0)           AS total_ead,</w:t>
            </w:r>
          </w:p>
          <w:p>
            <w:pPr>
              <w:spacing w:before="16" w:after="16"/>
            </w:pPr>
            <w:r>
              <w:rPr>
                <w:rFonts w:ascii="Courier New" w:cs="Courier New" w:eastAsia="Courier New" w:hAnsi="Courier New"/>
                <w:color w:val="A8D8A8"/>
                <w:sz w:val="17"/>
                <w:szCs w:val="17"/>
              </w:rPr>
              <w:t xml:space="preserve">    ROUND(SUM(fl.expected_loss)::numeric, 0) AS total_expected_loss,</w:t>
            </w:r>
          </w:p>
          <w:p>
            <w:pPr>
              <w:spacing w:before="16" w:after="16"/>
            </w:pPr>
            <w:r>
              <w:rPr>
                <w:rFonts w:ascii="Courier New" w:cs="Courier New" w:eastAsia="Courier New" w:hAnsi="Courier New"/>
                <w:color w:val="A8D8A8"/>
                <w:sz w:val="17"/>
                <w:szCs w:val="17"/>
              </w:rPr>
              <w:t xml:space="preserve">    ROUND(AVG(fl.pd) * 100, 3)               AS avg_pd_percent</w:t>
            </w:r>
          </w:p>
          <w:p>
            <w:pPr>
              <w:spacing w:before="16" w:after="16"/>
            </w:pPr>
            <w:r>
              <w:rPr>
                <w:rFonts w:ascii="Courier New" w:cs="Courier New" w:eastAsia="Courier New" w:hAnsi="Courier New"/>
                <w:color w:val="A8D8A8"/>
                <w:sz w:val="17"/>
                <w:szCs w:val="17"/>
              </w:rPr>
              <w:t xml:space="preserve">FROM fact_loans fl</w:t>
            </w:r>
          </w:p>
          <w:p>
            <w:pPr>
              <w:spacing w:before="16" w:after="16"/>
            </w:pPr>
            <w:r>
              <w:rPr>
                <w:rFonts w:ascii="Courier New" w:cs="Courier New" w:eastAsia="Courier New" w:hAnsi="Courier New"/>
                <w:color w:val="A8D8A8"/>
                <w:sz w:val="17"/>
                <w:szCs w:val="17"/>
              </w:rPr>
              <w:t xml:space="preserve">JOIN dim_branch db ON fl.branch_id = db.branch_id</w:t>
            </w:r>
          </w:p>
          <w:p>
            <w:pPr>
              <w:spacing w:before="16" w:after="16"/>
            </w:pPr>
            <w:r>
              <w:rPr>
                <w:rFonts w:ascii="Courier New" w:cs="Courier New" w:eastAsia="Courier New" w:hAnsi="Courier New"/>
                <w:color w:val="A8D8A8"/>
                <w:sz w:val="17"/>
                <w:szCs w:val="17"/>
              </w:rPr>
              <w:t xml:space="preserve">GROUP BY fl.branch_id, db.branch_group, db.region_type</w:t>
            </w:r>
          </w:p>
          <w:p>
            <w:pPr>
              <w:spacing w:before="16" w:after="16"/>
            </w:pPr>
            <w:r>
              <w:rPr>
                <w:rFonts w:ascii="Courier New" w:cs="Courier New" w:eastAsia="Courier New" w:hAnsi="Courier New"/>
                <w:color w:val="A8D8A8"/>
                <w:sz w:val="17"/>
                <w:szCs w:val="17"/>
              </w:rPr>
              <w:t xml:space="preserve">ORDER BY avg_pd_percent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Branch Group</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Branch Range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Loans per Branch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Stress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2,486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8.41%</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Risk</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Rural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BR11–BR14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4,785–4,977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7.09%</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Semi-Urban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BR05–BR10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8,548–8,781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5.85%</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Low Risk</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Urban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BR01–BR04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12,319–12,494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4.92%</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BR15 (Stress/Rural) carries the highest average PD at 8.41% — 71% above Low Risk Urban branches at 4.92%.</w:t>
      </w:r>
    </w:p>
    <w:p>
      <w:pPr>
        <w:pStyle w:val="ListParagraph"/>
        <w:numPr>
          <w:ilvl w:val="0"/>
          <w:numId w:val="2"/>
        </w:numPr>
        <w:spacing w:before="50" w:after="50"/>
      </w:pPr>
      <w:r>
        <w:rPr>
          <w:rFonts w:ascii="Arial" w:cs="Arial" w:eastAsia="Arial" w:hAnsi="Arial"/>
          <w:color w:val="1A1A2E"/>
          <w:sz w:val="20"/>
          <w:szCs w:val="20"/>
        </w:rPr>
        <w:t xml:space="preserve">In this simulation, smaller rural branches show higher average PD while larger urban branches show lower risk levels — reflecting both borrower composition and branch risk factor calibration.</w:t>
      </w:r>
    </w:p>
    <w:p>
      <w:pPr>
        <w:pStyle w:val="ListParagraph"/>
        <w:numPr>
          <w:ilvl w:val="0"/>
          <w:numId w:val="2"/>
        </w:numPr>
        <w:spacing w:before="50" w:after="50"/>
      </w:pPr>
      <w:r>
        <w:rPr>
          <w:rFonts w:ascii="Arial" w:cs="Arial" w:eastAsia="Arial" w:hAnsi="Arial"/>
          <w:color w:val="1A1A2E"/>
          <w:sz w:val="20"/>
          <w:szCs w:val="20"/>
        </w:rPr>
        <w:t xml:space="preserve">Urban branches (BR01–BR04) hold the largest loan volumes (12,319–12,494 loans each) with the lowest risk profile.</w:t>
      </w:r>
    </w:p>
    <w:p>
      <w:pPr>
        <w:pStyle w:val="ListParagraph"/>
        <w:numPr>
          <w:ilvl w:val="0"/>
          <w:numId w:val="2"/>
        </w:numPr>
        <w:spacing w:before="50" w:after="50"/>
      </w:pPr>
      <w:r>
        <w:rPr>
          <w:rFonts w:ascii="Arial" w:cs="Arial" w:eastAsia="Arial" w:hAnsi="Arial"/>
          <w:color w:val="1A1A2E"/>
          <w:sz w:val="20"/>
          <w:szCs w:val="20"/>
        </w:rPr>
        <w:t xml:space="preserve">High Risk Rural branches (BR11–BR14) each carry between 4,785 and 4,977 loans — less than 40% of the volume of urban branches.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Observed risk differences across branches reflect two compounding effects in this simulation: (1) borrower selection — rural branches attract higher-risk borrower segments; and (2) credit policy — branch_risk_factor directly scales PD in the model. In a real portfolio, attributing branch risk to either factor requires multivariate analysis controlling for borrower characteristics independently of branch assignment.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portfolio shows a risk-volume pattern consistent with real-world retail banking: high-volume urban branches carry low risk; low-volume rural branches carry elevated risk. This reflects both the concentration of prime borrowers in urban areas and the higher credit risk of rural lending environments in the Indian retail context.</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04  —  Customer Credit Score Segmentation</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segment the borrower base by credit score band and validate that higher-risk borrowers exhibit elevated PD and expected loss. Credit score is the primary PD driver in this model. Score band boundaries of 600, 700, and 780 map directly to base PD assumptions of 14%, 7%, 3%, and 1% respectively.</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CASE</w:t>
            </w:r>
          </w:p>
          <w:p>
            <w:pPr>
              <w:spacing w:before="16" w:after="16"/>
            </w:pPr>
            <w:r>
              <w:rPr>
                <w:rFonts w:ascii="Courier New" w:cs="Courier New" w:eastAsia="Courier New" w:hAnsi="Courier New"/>
                <w:color w:val="A8D8A8"/>
                <w:sz w:val="17"/>
                <w:szCs w:val="17"/>
              </w:rPr>
              <w:t xml:space="preserve">        WHEN c.credit_score &lt; 600 THEN 'Subprime (&lt;600)'</w:t>
            </w:r>
          </w:p>
          <w:p>
            <w:pPr>
              <w:spacing w:before="16" w:after="16"/>
            </w:pPr>
            <w:r>
              <w:rPr>
                <w:rFonts w:ascii="Courier New" w:cs="Courier New" w:eastAsia="Courier New" w:hAnsi="Courier New"/>
                <w:color w:val="A8D8A8"/>
                <w:sz w:val="17"/>
                <w:szCs w:val="17"/>
              </w:rPr>
              <w:t xml:space="preserve">        WHEN c.credit_score BETWEEN 600 AND 699 THEN 'Near Prime (600-699)'</w:t>
            </w:r>
          </w:p>
          <w:p>
            <w:pPr>
              <w:spacing w:before="16" w:after="16"/>
            </w:pPr>
            <w:r>
              <w:rPr>
                <w:rFonts w:ascii="Courier New" w:cs="Courier New" w:eastAsia="Courier New" w:hAnsi="Courier New"/>
                <w:color w:val="A8D8A8"/>
                <w:sz w:val="17"/>
                <w:szCs w:val="17"/>
              </w:rPr>
              <w:t xml:space="preserve">        WHEN c.credit_score BETWEEN 700 AND 779 THEN 'Prime (700-779)'</w:t>
            </w:r>
          </w:p>
          <w:p>
            <w:pPr>
              <w:spacing w:before="16" w:after="16"/>
            </w:pPr>
            <w:r>
              <w:rPr>
                <w:rFonts w:ascii="Courier New" w:cs="Courier New" w:eastAsia="Courier New" w:hAnsi="Courier New"/>
                <w:color w:val="A8D8A8"/>
                <w:sz w:val="17"/>
                <w:szCs w:val="17"/>
              </w:rPr>
              <w:t xml:space="preserve">        ELSE 'Super Prime (780+)'</w:t>
            </w:r>
          </w:p>
          <w:p>
            <w:pPr>
              <w:spacing w:before="16" w:after="16"/>
            </w:pPr>
            <w:r>
              <w:rPr>
                <w:rFonts w:ascii="Courier New" w:cs="Courier New" w:eastAsia="Courier New" w:hAnsi="Courier New"/>
                <w:color w:val="A8D8A8"/>
                <w:sz w:val="17"/>
                <w:szCs w:val="17"/>
              </w:rPr>
              <w:t xml:space="preserve">    END AS credit_band,</w:t>
            </w:r>
          </w:p>
          <w:p>
            <w:pPr>
              <w:spacing w:before="16" w:after="16"/>
            </w:pPr>
            <w:r>
              <w:rPr>
                <w:rFonts w:ascii="Courier New" w:cs="Courier New" w:eastAsia="Courier New" w:hAnsi="Courier New"/>
                <w:color w:val="A8D8A8"/>
                <w:sz w:val="17"/>
                <w:szCs w:val="17"/>
              </w:rPr>
              <w:t xml:space="preserve">    COUNT(fl.loan_id)                        AS total_loans,</w:t>
            </w:r>
          </w:p>
          <w:p>
            <w:pPr>
              <w:spacing w:before="16" w:after="16"/>
            </w:pPr>
            <w:r>
              <w:rPr>
                <w:rFonts w:ascii="Courier New" w:cs="Courier New" w:eastAsia="Courier New" w:hAnsi="Courier New"/>
                <w:color w:val="A8D8A8"/>
                <w:sz w:val="17"/>
                <w:szCs w:val="17"/>
              </w:rPr>
              <w:t xml:space="preserve">    ROUND(AVG(fl.pd) * 100, 3)               AS avg_pd_percent,</w:t>
            </w:r>
          </w:p>
          <w:p>
            <w:pPr>
              <w:spacing w:before="16" w:after="16"/>
            </w:pPr>
            <w:r>
              <w:rPr>
                <w:rFonts w:ascii="Courier New" w:cs="Courier New" w:eastAsia="Courier New" w:hAnsi="Courier New"/>
                <w:color w:val="A8D8A8"/>
                <w:sz w:val="17"/>
                <w:szCs w:val="17"/>
              </w:rPr>
              <w:t xml:space="preserve">    ROUND(SUM(fl.expected_loss)::numeric, 0) AS total_expected_loss</w:t>
            </w:r>
          </w:p>
          <w:p>
            <w:pPr>
              <w:spacing w:before="16" w:after="16"/>
            </w:pPr>
            <w:r>
              <w:rPr>
                <w:rFonts w:ascii="Courier New" w:cs="Courier New" w:eastAsia="Courier New" w:hAnsi="Courier New"/>
                <w:color w:val="A8D8A8"/>
                <w:sz w:val="17"/>
                <w:szCs w:val="17"/>
              </w:rPr>
              <w:t xml:space="preserve">FROM fact_loans fl</w:t>
            </w:r>
          </w:p>
          <w:p>
            <w:pPr>
              <w:spacing w:before="16" w:after="16"/>
            </w:pPr>
            <w:r>
              <w:rPr>
                <w:rFonts w:ascii="Courier New" w:cs="Courier New" w:eastAsia="Courier New" w:hAnsi="Courier New"/>
                <w:color w:val="A8D8A8"/>
                <w:sz w:val="17"/>
                <w:szCs w:val="17"/>
              </w:rPr>
              <w:t xml:space="preserve">JOIN dim_customer c ON fl.customer_id = c.customer_id</w:t>
            </w:r>
          </w:p>
          <w:p>
            <w:pPr>
              <w:spacing w:before="16" w:after="16"/>
            </w:pPr>
            <w:r>
              <w:rPr>
                <w:rFonts w:ascii="Courier New" w:cs="Courier New" w:eastAsia="Courier New" w:hAnsi="Courier New"/>
                <w:color w:val="A8D8A8"/>
                <w:sz w:val="17"/>
                <w:szCs w:val="17"/>
              </w:rPr>
              <w:t xml:space="preserve">GROUP BY credit_band</w:t>
            </w:r>
          </w:p>
          <w:p>
            <w:pPr>
              <w:spacing w:before="16" w:after="16"/>
            </w:pPr>
            <w:r>
              <w:rPr>
                <w:rFonts w:ascii="Courier New" w:cs="Courier New" w:eastAsia="Courier New" w:hAnsi="Courier New"/>
                <w:color w:val="A8D8A8"/>
                <w:sz w:val="17"/>
                <w:szCs w:val="17"/>
              </w:rPr>
              <w:t xml:space="preserve">ORDER BY avg_pd_percent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Credit Band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Base PD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Subprime (&lt;600)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16,480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14.45%</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Near Prime (600-699)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45,059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7.24%</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Prime (700-779)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38,152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3.10%</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Super Prime (780+)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23,983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1.03%</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Subprime borrowers carry average PD of 14.45% — 14 times higher than Super Prime at 1.03%.</w:t>
      </w:r>
    </w:p>
    <w:p>
      <w:pPr>
        <w:pStyle w:val="ListParagraph"/>
        <w:numPr>
          <w:ilvl w:val="0"/>
          <w:numId w:val="2"/>
        </w:numPr>
        <w:spacing w:before="50" w:after="50"/>
      </w:pPr>
      <w:r>
        <w:rPr>
          <w:rFonts w:ascii="Arial" w:cs="Arial" w:eastAsia="Arial" w:hAnsi="Arial"/>
          <w:color w:val="1A1A2E"/>
          <w:sz w:val="20"/>
          <w:szCs w:val="20"/>
        </w:rPr>
        <w:t xml:space="preserve">Near Prime is the largest segment at 45,059 loans, carrying 7.24% average PD — the primary contributor to portfolio-level delinquency.</w:t>
      </w:r>
    </w:p>
    <w:p>
      <w:pPr>
        <w:pStyle w:val="ListParagraph"/>
        <w:numPr>
          <w:ilvl w:val="0"/>
          <w:numId w:val="2"/>
        </w:numPr>
        <w:spacing w:before="50" w:after="50"/>
      </w:pPr>
      <w:r>
        <w:rPr>
          <w:rFonts w:ascii="Arial" w:cs="Arial" w:eastAsia="Arial" w:hAnsi="Arial"/>
          <w:color w:val="1A1A2E"/>
          <w:sz w:val="20"/>
          <w:szCs w:val="20"/>
        </w:rPr>
        <w:t xml:space="preserve">Prime borrowers (38,152 loans) represent the second-largest segment with moderate risk at 3.10% PD.</w:t>
      </w:r>
    </w:p>
    <w:p>
      <w:pPr>
        <w:pStyle w:val="ListParagraph"/>
        <w:numPr>
          <w:ilvl w:val="0"/>
          <w:numId w:val="2"/>
        </w:numPr>
        <w:spacing w:before="50" w:after="50"/>
      </w:pPr>
      <w:r>
        <w:rPr>
          <w:rFonts w:ascii="Arial" w:cs="Arial" w:eastAsia="Arial" w:hAnsi="Arial"/>
          <w:color w:val="1A1A2E"/>
          <w:sz w:val="20"/>
          <w:szCs w:val="20"/>
        </w:rPr>
        <w:t xml:space="preserve">Monotonic PD decline from Subprime to Super Prime directly validates the credit score to PD mapping in the model.</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Score band boundaries (600, 700, 780) map to base PD values of 14%, 7%, 3%, and 1%. Final PD is further adjusted by customer segment multiplier (1.3x for Segment A) and branch risk factor, accounting for residual PD dispersion within each band. The observed average PD per band (14.45%, 7.24%, 3.10%, 1.03%) is slightly different from base PD due to these multiplicative adjustments.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Credit score segmentation is the clearest validation of internal model consistency in this portfolio. The 14x PD differential between Subprime and Super Prime confirms that risk stratification is functioning correctly. This is the analytical foundation for tiered pricing, differential provisioning, and risk-based capital allocation across borrower segments.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05  —  Expected Loss Contribution Analysis</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identify which loan types, branch groups, and customer segments are the primary drivers of total expected loss, enabling prioritised risk capital allocation across the portfolio.</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 By Loan Type</w:t>
            </w:r>
          </w:p>
          <w:p>
            <w:pPr>
              <w:spacing w:before="16" w:after="16"/>
            </w:pPr>
            <w:r>
              <w:rPr>
                <w:rFonts w:ascii="Courier New" w:cs="Courier New" w:eastAsia="Courier New" w:hAnsi="Courier New"/>
                <w:color w:val="A8D8A8"/>
                <w:sz w:val="17"/>
                <w:szCs w:val="17"/>
              </w:rPr>
              <w:t xml:space="preserve">SELECT loan_type,</w:t>
            </w:r>
          </w:p>
          <w:p>
            <w:pPr>
              <w:spacing w:before="16" w:after="16"/>
            </w:pPr>
            <w:r>
              <w:rPr>
                <w:rFonts w:ascii="Courier New" w:cs="Courier New" w:eastAsia="Courier New" w:hAnsi="Courier New"/>
                <w:color w:val="A8D8A8"/>
                <w:sz w:val="17"/>
                <w:szCs w:val="17"/>
              </w:rPr>
              <w:t xml:space="preserve">    ROUND(SUM(expected_loss)::numeric, 0) AS total_el,</w:t>
            </w:r>
          </w:p>
          <w:p>
            <w:pPr>
              <w:spacing w:before="16" w:after="16"/>
            </w:pPr>
            <w:r>
              <w:rPr>
                <w:rFonts w:ascii="Courier New" w:cs="Courier New" w:eastAsia="Courier New" w:hAnsi="Courier New"/>
                <w:color w:val="A8D8A8"/>
                <w:sz w:val="17"/>
                <w:szCs w:val="17"/>
              </w:rPr>
              <w:t xml:space="preserve">    ROUND(SUM(expected_loss)*100.0/SUM(SUM(expected_loss)) OVER(),2) AS pct</w:t>
            </w:r>
          </w:p>
          <w:p>
            <w:pPr>
              <w:spacing w:before="16" w:after="16"/>
            </w:pPr>
            <w:r>
              <w:rPr>
                <w:rFonts w:ascii="Courier New" w:cs="Courier New" w:eastAsia="Courier New" w:hAnsi="Courier New"/>
                <w:color w:val="A8D8A8"/>
                <w:sz w:val="17"/>
                <w:szCs w:val="17"/>
              </w:rPr>
              <w:t xml:space="preserve">FROM fact_loans GROUP BY loan_type ORDER BY total_el DESC;</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By Branch Group</w:t>
            </w:r>
          </w:p>
          <w:p>
            <w:pPr>
              <w:spacing w:before="16" w:after="16"/>
            </w:pPr>
            <w:r>
              <w:rPr>
                <w:rFonts w:ascii="Courier New" w:cs="Courier New" w:eastAsia="Courier New" w:hAnsi="Courier New"/>
                <w:color w:val="A8D8A8"/>
                <w:sz w:val="17"/>
                <w:szCs w:val="17"/>
              </w:rPr>
              <w:t xml:space="preserve">SELECT db.branch_group,</w:t>
            </w:r>
          </w:p>
          <w:p>
            <w:pPr>
              <w:spacing w:before="16" w:after="16"/>
            </w:pPr>
            <w:r>
              <w:rPr>
                <w:rFonts w:ascii="Courier New" w:cs="Courier New" w:eastAsia="Courier New" w:hAnsi="Courier New"/>
                <w:color w:val="A8D8A8"/>
                <w:sz w:val="17"/>
                <w:szCs w:val="17"/>
              </w:rPr>
              <w:t xml:space="preserve">    ROUND(SUM(fl.expected_loss)::numeric, 0) AS total_el,</w:t>
            </w:r>
          </w:p>
          <w:p>
            <w:pPr>
              <w:spacing w:before="16" w:after="16"/>
            </w:pPr>
            <w:r>
              <w:rPr>
                <w:rFonts w:ascii="Courier New" w:cs="Courier New" w:eastAsia="Courier New" w:hAnsi="Courier New"/>
                <w:color w:val="A8D8A8"/>
                <w:sz w:val="17"/>
                <w:szCs w:val="17"/>
              </w:rPr>
              <w:t xml:space="preserve">    ROUND(SUM(fl.expected_loss)*100.0/SUM(SUM(fl.expected_loss)) OVER(),2) AS pct</w:t>
            </w:r>
          </w:p>
          <w:p>
            <w:pPr>
              <w:spacing w:before="16" w:after="16"/>
            </w:pPr>
            <w:r>
              <w:rPr>
                <w:rFonts w:ascii="Courier New" w:cs="Courier New" w:eastAsia="Courier New" w:hAnsi="Courier New"/>
                <w:color w:val="A8D8A8"/>
                <w:sz w:val="17"/>
                <w:szCs w:val="17"/>
              </w:rPr>
              <w:t xml:space="preserve">FROM fact_loans fl JOIN dim_branch db ON fl.branch_id=db.branch_id</w:t>
            </w:r>
          </w:p>
          <w:p>
            <w:pPr>
              <w:spacing w:before="16" w:after="16"/>
            </w:pPr>
            <w:r>
              <w:rPr>
                <w:rFonts w:ascii="Courier New" w:cs="Courier New" w:eastAsia="Courier New" w:hAnsi="Courier New"/>
                <w:color w:val="A8D8A8"/>
                <w:sz w:val="17"/>
                <w:szCs w:val="17"/>
              </w:rPr>
              <w:t xml:space="preserve">GROUP BY db.branch_group ORDER BY total_el DESC;</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By Customer Segment</w:t>
            </w:r>
          </w:p>
          <w:p>
            <w:pPr>
              <w:spacing w:before="16" w:after="16"/>
            </w:pPr>
            <w:r>
              <w:rPr>
                <w:rFonts w:ascii="Courier New" w:cs="Courier New" w:eastAsia="Courier New" w:hAnsi="Courier New"/>
                <w:color w:val="A8D8A8"/>
                <w:sz w:val="17"/>
                <w:szCs w:val="17"/>
              </w:rPr>
              <w:t xml:space="preserve">SELECT c.customer_segment,</w:t>
            </w:r>
          </w:p>
          <w:p>
            <w:pPr>
              <w:spacing w:before="16" w:after="16"/>
            </w:pPr>
            <w:r>
              <w:rPr>
                <w:rFonts w:ascii="Courier New" w:cs="Courier New" w:eastAsia="Courier New" w:hAnsi="Courier New"/>
                <w:color w:val="A8D8A8"/>
                <w:sz w:val="17"/>
                <w:szCs w:val="17"/>
              </w:rPr>
              <w:t xml:space="preserve">    ROUND(SUM(fl.expected_loss)::numeric, 0) AS total_el,</w:t>
            </w:r>
          </w:p>
          <w:p>
            <w:pPr>
              <w:spacing w:before="16" w:after="16"/>
            </w:pPr>
            <w:r>
              <w:rPr>
                <w:rFonts w:ascii="Courier New" w:cs="Courier New" w:eastAsia="Courier New" w:hAnsi="Courier New"/>
                <w:color w:val="A8D8A8"/>
                <w:sz w:val="17"/>
                <w:szCs w:val="17"/>
              </w:rPr>
              <w:t xml:space="preserve">    ROUND(SUM(fl.expected_loss)*100.0/SUM(SUM(fl.expected_loss)) OVER(),2) AS pct</w:t>
            </w:r>
          </w:p>
          <w:p>
            <w:pPr>
              <w:spacing w:before="16" w:after="16"/>
            </w:pPr>
            <w:r>
              <w:rPr>
                <w:rFonts w:ascii="Courier New" w:cs="Courier New" w:eastAsia="Courier New" w:hAnsi="Courier New"/>
                <w:color w:val="A8D8A8"/>
                <w:sz w:val="17"/>
                <w:szCs w:val="17"/>
              </w:rPr>
              <w:t xml:space="preserve">FROM fact_loans fl JOIN dim_customer c ON fl.customer_id=c.customer_id</w:t>
            </w:r>
          </w:p>
          <w:p>
            <w:pPr>
              <w:spacing w:before="16" w:after="16"/>
            </w:pPr>
            <w:r>
              <w:rPr>
                <w:rFonts w:ascii="Courier New" w:cs="Courier New" w:eastAsia="Courier New" w:hAnsi="Courier New"/>
                <w:color w:val="A8D8A8"/>
                <w:sz w:val="17"/>
                <w:szCs w:val="17"/>
              </w:rPr>
              <w:t xml:space="preserve">GROUP BY c.customer_segment ORDER BY total_el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EL (Rs Cr)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Contribution%</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1,749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44.90%</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1,056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27.12%</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13.99%</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367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9.43%</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Loan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4.56%</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Group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1,541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39.56%</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37.95%</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Group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Risk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731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18.77%</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Branch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3.72%</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Segment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1,243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31.91%</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25.32%</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Segment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944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24.24%</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18.53%</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Home and Business loans together account for 72% of total expected loss across all products.</w:t>
      </w:r>
    </w:p>
    <w:p>
      <w:pPr>
        <w:pStyle w:val="ListParagraph"/>
        <w:numPr>
          <w:ilvl w:val="0"/>
          <w:numId w:val="2"/>
        </w:numPr>
        <w:spacing w:before="50" w:after="50"/>
      </w:pPr>
      <w:r>
        <w:rPr>
          <w:rFonts w:ascii="Arial" w:cs="Arial" w:eastAsia="Arial" w:hAnsi="Arial"/>
          <w:color w:val="1A1A2E"/>
          <w:sz w:val="20"/>
          <w:szCs w:val="20"/>
        </w:rPr>
        <w:t xml:space="preserve">Normal and Low Risk branches contribute 77.5% of EL — driven by high origination volumes despite moderate per-loan risk.</w:t>
      </w:r>
    </w:p>
    <w:p>
      <w:pPr>
        <w:pStyle w:val="ListParagraph"/>
        <w:numPr>
          <w:ilvl w:val="0"/>
          <w:numId w:val="2"/>
        </w:numPr>
        <w:spacing w:before="50" w:after="50"/>
      </w:pPr>
      <w:r>
        <w:rPr>
          <w:rFonts w:ascii="Arial" w:cs="Arial" w:eastAsia="Arial" w:hAnsi="Arial"/>
          <w:color w:val="1A1A2E"/>
          <w:sz w:val="20"/>
          <w:szCs w:val="20"/>
        </w:rPr>
        <w:t xml:space="preserve">Stress branches contribute only 3.72% of EL despite the highest PD — small loan count limits absolute loss contribution.</w:t>
      </w:r>
    </w:p>
    <w:p>
      <w:pPr>
        <w:pStyle w:val="ListParagraph"/>
        <w:numPr>
          <w:ilvl w:val="0"/>
          <w:numId w:val="2"/>
        </w:numPr>
        <w:spacing w:before="50" w:after="50"/>
      </w:pPr>
      <w:r>
        <w:rPr>
          <w:rFonts w:ascii="Arial" w:cs="Arial" w:eastAsia="Arial" w:hAnsi="Arial"/>
          <w:color w:val="1A1A2E"/>
          <w:sz w:val="20"/>
          <w:szCs w:val="20"/>
        </w:rPr>
        <w:t xml:space="preserve">Segment B customers contribute the most at 31.91%, reflecting their dominant share of loan originations.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EL concentration in Normal and Low Risk branches is volume-driven, not risk-quality driven. Risk quality is worst in Stress and High Risk branches but small loan counts limit their absolute EL. This is a consistent pattern in real portfolios — aggregate loss is dominated by large low-risk segments, not small high-risk ones.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Loss concentration in Home loans is driven by exposure size, not risk quality. Business loans are the risk-concentration product — high LGD makes them the highest loss-per-rupee product. See Analysis 18 for explicit loss density calculations that prove this mathematically. Risk management resources should prioritise Business loan underwriting despite their lower share of originations.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06  —  Collateral Coverage Analysis</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assess collateral adequacy by measuring the ratio of collateral value to EAD, and to quantify the portion of the portfolio with missing collateral documentation — a real-world operational risk indicator.</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loan_type,</w:t>
            </w:r>
          </w:p>
          <w:p>
            <w:pPr>
              <w:spacing w:before="16" w:after="16"/>
            </w:pPr>
            <w:r>
              <w:rPr>
                <w:rFonts w:ascii="Courier New" w:cs="Courier New" w:eastAsia="Courier New" w:hAnsi="Courier New"/>
                <w:color w:val="A8D8A8"/>
                <w:sz w:val="17"/>
                <w:szCs w:val="17"/>
              </w:rPr>
              <w:t xml:space="preserve">    COUNT(loan_id)                                        AS total_loans,</w:t>
            </w:r>
          </w:p>
          <w:p>
            <w:pPr>
              <w:spacing w:before="16" w:after="16"/>
            </w:pPr>
            <w:r>
              <w:rPr>
                <w:rFonts w:ascii="Courier New" w:cs="Courier New" w:eastAsia="Courier New" w:hAnsi="Courier New"/>
                <w:color w:val="A8D8A8"/>
                <w:sz w:val="17"/>
                <w:szCs w:val="17"/>
              </w:rPr>
              <w:t xml:space="preserve">    COUNT(collateral_value)                               AS with_collateral,</w:t>
            </w:r>
          </w:p>
          <w:p>
            <w:pPr>
              <w:spacing w:before="16" w:after="16"/>
            </w:pPr>
            <w:r>
              <w:rPr>
                <w:rFonts w:ascii="Courier New" w:cs="Courier New" w:eastAsia="Courier New" w:hAnsi="Courier New"/>
                <w:color w:val="A8D8A8"/>
                <w:sz w:val="17"/>
                <w:szCs w:val="17"/>
              </w:rPr>
              <w:t xml:space="preserve">    ROUND(COUNT(collateral_value)*100.0/COUNT(*),2)       AS coverage_pct,</w:t>
            </w:r>
          </w:p>
          <w:p>
            <w:pPr>
              <w:spacing w:before="16" w:after="16"/>
            </w:pPr>
            <w:r>
              <w:rPr>
                <w:rFonts w:ascii="Courier New" w:cs="Courier New" w:eastAsia="Courier New" w:hAnsi="Courier New"/>
                <w:color w:val="A8D8A8"/>
                <w:sz w:val="17"/>
                <w:szCs w:val="17"/>
              </w:rPr>
              <w:t xml:space="preserve">    ROUND(AVG(collateral_value/NULLIF(ead,0))::numeric,3) AS avg_collateral_ratio</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loan_type ORDER BY avg_collateral_ratio DESC;</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Uncollateralised NPA exposure</w:t>
            </w:r>
          </w:p>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COUNT(*) FILTER (WHERE state='NPA'</w:t>
            </w:r>
          </w:p>
          <w:p>
            <w:pPr>
              <w:spacing w:before="16" w:after="16"/>
            </w:pPr>
            <w:r>
              <w:rPr>
                <w:rFonts w:ascii="Courier New" w:cs="Courier New" w:eastAsia="Courier New" w:hAnsi="Courier New"/>
                <w:color w:val="A8D8A8"/>
                <w:sz w:val="17"/>
                <w:szCs w:val="17"/>
              </w:rPr>
              <w:t xml:space="preserve">        AND collateral_value IS NULL)             AS uncoll_npa_count,</w:t>
            </w:r>
          </w:p>
          <w:p>
            <w:pPr>
              <w:spacing w:before="16" w:after="16"/>
            </w:pPr>
            <w:r>
              <w:rPr>
                <w:rFonts w:ascii="Courier New" w:cs="Courier New" w:eastAsia="Courier New" w:hAnsi="Courier New"/>
                <w:color w:val="A8D8A8"/>
                <w:sz w:val="17"/>
                <w:szCs w:val="17"/>
              </w:rPr>
              <w:t xml:space="preserve">    ROUND(SUM(ead) FILTER (WHERE state='NPA'</w:t>
            </w:r>
          </w:p>
          <w:p>
            <w:pPr>
              <w:spacing w:before="16" w:after="16"/>
            </w:pPr>
            <w:r>
              <w:rPr>
                <w:rFonts w:ascii="Courier New" w:cs="Courier New" w:eastAsia="Courier New" w:hAnsi="Courier New"/>
                <w:color w:val="A8D8A8"/>
                <w:sz w:val="17"/>
                <w:szCs w:val="17"/>
              </w:rPr>
              <w:t xml:space="preserve">        AND collateral_value IS NULL)::numeric,0) AS uncoll_npa_ead</w:t>
            </w:r>
          </w:p>
          <w:p>
            <w:pPr>
              <w:spacing w:before="16" w:after="16"/>
            </w:pPr>
            <w:r>
              <w:rPr>
                <w:rFonts w:ascii="Courier New" w:cs="Courier New" w:eastAsia="Courier New" w:hAnsi="Courier New"/>
                <w:color w:val="A8D8A8"/>
                <w:sz w:val="17"/>
                <w:szCs w:val="17"/>
              </w:rPr>
              <w:t xml:space="preserve">FROM portfolio_analytics WHERE month_number = 12;</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Loans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With Collateral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Coverage%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Ratio</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37,133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36,198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1.241x</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18,419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17,963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1.243x</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24,853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24,224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1.243x</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30,862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30,015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97.4%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1.244x</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12,074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1.243x</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97.4% of loans across all products have collateral recorded — 2.59% (3,200 loans) have missing documentation.</w:t>
      </w:r>
    </w:p>
    <w:p>
      <w:pPr>
        <w:pStyle w:val="ListParagraph"/>
        <w:numPr>
          <w:ilvl w:val="0"/>
          <w:numId w:val="2"/>
        </w:numPr>
        <w:spacing w:before="50" w:after="50"/>
      </w:pPr>
      <w:r>
        <w:rPr>
          <w:rFonts w:ascii="Arial" w:cs="Arial" w:eastAsia="Arial" w:hAnsi="Arial"/>
          <w:color w:val="1A1A2E"/>
          <w:sz w:val="20"/>
          <w:szCs w:val="20"/>
        </w:rPr>
        <w:t xml:space="preserve">Average collateral ratio of 1.24x means collateral exceeds EAD by 24% across the portfolio.</w:t>
      </w:r>
    </w:p>
    <w:p>
      <w:pPr>
        <w:pStyle w:val="ListParagraph"/>
        <w:numPr>
          <w:ilvl w:val="0"/>
          <w:numId w:val="2"/>
        </w:numPr>
        <w:spacing w:before="50" w:after="50"/>
      </w:pPr>
      <w:r>
        <w:rPr>
          <w:rFonts w:ascii="Arial" w:cs="Arial" w:eastAsia="Arial" w:hAnsi="Arial"/>
          <w:color w:val="1A1A2E"/>
          <w:sz w:val="20"/>
          <w:szCs w:val="20"/>
        </w:rPr>
        <w:t xml:space="preserve">Collateral ratio is uniform at approximately 1.24x across all loan types — individual loan ratios range from 0.76x to 1.76x within each type.</w:t>
      </w:r>
    </w:p>
    <w:p>
      <w:pPr>
        <w:pStyle w:val="ListParagraph"/>
        <w:numPr>
          <w:ilvl w:val="0"/>
          <w:numId w:val="2"/>
        </w:numPr>
        <w:spacing w:before="50" w:after="50"/>
      </w:pPr>
      <w:r>
        <w:rPr>
          <w:rFonts w:ascii="Arial" w:cs="Arial" w:eastAsia="Arial" w:hAnsi="Arial"/>
          <w:color w:val="1A1A2E"/>
          <w:sz w:val="20"/>
          <w:szCs w:val="20"/>
        </w:rPr>
        <w:t xml:space="preserve">Missing collateral is uniformly distributed — no single product is disproportionately uncollateralised.</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In this simulation, collateral is modelled as 80–150% of loan amount uniformly across all loan types. The midpoint of this range is 1.15x; the observed portfolio average of 1.24x is higher due to the random distribution being right-skewed within the simulation draw — statistically plausible and not a data error. In real portfolios, collateral coverage varies significantly: Home loans carry property collateral at 60–80% LTV, Personal loans are typically unsecured, and Business loans carry mixed asset collateral. This uniform coverage is a documented simulation simplification.</w:t>
      </w:r>
    </w:p>
    <w:p>
      <w:pPr>
        <w:pStyle w:val="ListParagraph"/>
        <w:numPr>
          <w:ilvl w:val="0"/>
          <w:numId w:val="3"/>
        </w:numPr>
        <w:spacing w:before="40" w:after="40"/>
      </w:pPr>
      <w:r>
        <w:rPr>
          <w:rFonts w:ascii="Arial" w:cs="Arial" w:eastAsia="Arial" w:hAnsi="Arial"/>
          <w:i/>
          <w:iCs/>
          <w:color w:val="444444"/>
          <w:sz w:val="18"/>
          <w:szCs w:val="18"/>
        </w:rPr>
        <w:t xml:space="preserve">The 2.59% missing collateral rate was intentionally simulated to reflect real-world KYC and documentation gaps.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Overall collateral coverage is strong at 1.24x. The uniform ratio across products is a simulation design choice — real portfolios show significantly more variation between secured and unsecured products. The 2.59% documentation gap represents operational risk and should be flagged for priority collateral registration follow-up in a live portfolio context.</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07  —  Interest Rate Risk by Loan Type</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evaluate interest rate pricing across loan products and assess whether higher-risk products are priced appropriately relative to their probability of default and expected loss.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loan_type,</w:t>
            </w:r>
          </w:p>
          <w:p>
            <w:pPr>
              <w:spacing w:before="16" w:after="16"/>
            </w:pPr>
            <w:r>
              <w:rPr>
                <w:rFonts w:ascii="Courier New" w:cs="Courier New" w:eastAsia="Courier New" w:hAnsi="Courier New"/>
                <w:color w:val="A8D8A8"/>
                <w:sz w:val="17"/>
                <w:szCs w:val="17"/>
              </w:rPr>
              <w:t xml:space="preserve">    ROUND(AVG(interest_rate)::numeric, 3)   AS avg_interest_rate,</w:t>
            </w:r>
          </w:p>
          <w:p>
            <w:pPr>
              <w:spacing w:before="16" w:after="16"/>
            </w:pPr>
            <w:r>
              <w:rPr>
                <w:rFonts w:ascii="Courier New" w:cs="Courier New" w:eastAsia="Courier New" w:hAnsi="Courier New"/>
                <w:color w:val="A8D8A8"/>
                <w:sz w:val="17"/>
                <w:szCs w:val="17"/>
              </w:rPr>
              <w:t xml:space="preserve">    ROUND(MIN(interest_rate)::numeric, 3)   AS min_rate,</w:t>
            </w:r>
          </w:p>
          <w:p>
            <w:pPr>
              <w:spacing w:before="16" w:after="16"/>
            </w:pPr>
            <w:r>
              <w:rPr>
                <w:rFonts w:ascii="Courier New" w:cs="Courier New" w:eastAsia="Courier New" w:hAnsi="Courier New"/>
                <w:color w:val="A8D8A8"/>
                <w:sz w:val="17"/>
                <w:szCs w:val="17"/>
              </w:rPr>
              <w:t xml:space="preserve">    ROUND(MAX(interest_rate)::numeric, 3)   AS max_rate,</w:t>
            </w:r>
          </w:p>
          <w:p>
            <w:pPr>
              <w:spacing w:before="16" w:after="16"/>
            </w:pPr>
            <w:r>
              <w:rPr>
                <w:rFonts w:ascii="Courier New" w:cs="Courier New" w:eastAsia="Courier New" w:hAnsi="Courier New"/>
                <w:color w:val="A8D8A8"/>
                <w:sz w:val="17"/>
                <w:szCs w:val="17"/>
              </w:rPr>
              <w:t xml:space="preserve">    ROUND(AVG(pd) * 100, 3)                 AS avg_pd_percent,</w:t>
            </w:r>
          </w:p>
          <w:p>
            <w:pPr>
              <w:spacing w:before="16" w:after="16"/>
            </w:pPr>
            <w:r>
              <w:rPr>
                <w:rFonts w:ascii="Courier New" w:cs="Courier New" w:eastAsia="Courier New" w:hAnsi="Courier New"/>
                <w:color w:val="A8D8A8"/>
                <w:sz w:val="17"/>
                <w:szCs w:val="17"/>
              </w:rPr>
              <w:t xml:space="preserve">    ROUND(SUM(ead)::numeric, 0)             AS total_exposure,</w:t>
            </w:r>
          </w:p>
          <w:p>
            <w:pPr>
              <w:spacing w:before="16" w:after="16"/>
            </w:pPr>
            <w:r>
              <w:rPr>
                <w:rFonts w:ascii="Courier New" w:cs="Courier New" w:eastAsia="Courier New" w:hAnsi="Courier New"/>
                <w:color w:val="A8D8A8"/>
                <w:sz w:val="17"/>
                <w:szCs w:val="17"/>
              </w:rPr>
              <w:t xml:space="preserve">    ROUND(SUM(expected_loss)::numeric, 0)   AS total_el</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loan_type</w:t>
            </w:r>
          </w:p>
          <w:p>
            <w:pPr>
              <w:spacing w:before="16" w:after="16"/>
            </w:pPr>
            <w:r>
              <w:rPr>
                <w:rFonts w:ascii="Courier New" w:cs="Courier New" w:eastAsia="Courier New" w:hAnsi="Courier New"/>
                <w:color w:val="A8D8A8"/>
                <w:sz w:val="17"/>
                <w:szCs w:val="17"/>
              </w:rPr>
              <w:t xml:space="preserve">ORDER BY avg_interest_rate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Rate%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Max%</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5.73%</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13.0%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15.0%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5.76%</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5.73%</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5.71%</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5.70%</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Personal loans carry the highest average rate at 15.5%, reflecting their unsecured high-LGD nature.</w:t>
      </w:r>
    </w:p>
    <w:p>
      <w:pPr>
        <w:pStyle w:val="ListParagraph"/>
        <w:numPr>
          <w:ilvl w:val="0"/>
          <w:numId w:val="2"/>
        </w:numPr>
        <w:spacing w:before="50" w:after="50"/>
      </w:pPr>
      <w:r>
        <w:rPr>
          <w:rFonts w:ascii="Arial" w:cs="Arial" w:eastAsia="Arial" w:hAnsi="Arial"/>
          <w:color w:val="1A1A2E"/>
          <w:sz w:val="20"/>
          <w:szCs w:val="20"/>
        </w:rPr>
        <w:t xml:space="preserve">Business loans show a pricing inefficiency: highest PD at 5.76% but only the second-highest rate at 13.0%.</w:t>
      </w:r>
    </w:p>
    <w:p>
      <w:pPr>
        <w:pStyle w:val="ListParagraph"/>
        <w:numPr>
          <w:ilvl w:val="0"/>
          <w:numId w:val="2"/>
        </w:numPr>
        <w:spacing w:before="50" w:after="50"/>
      </w:pPr>
      <w:r>
        <w:rPr>
          <w:rFonts w:ascii="Arial" w:cs="Arial" w:eastAsia="Arial" w:hAnsi="Arial"/>
          <w:color w:val="1A1A2E"/>
          <w:sz w:val="20"/>
          <w:szCs w:val="20"/>
        </w:rPr>
        <w:t xml:space="preserve">Home loans carry the lowest rate at 9.0%, consistent with secured collateral and the lowest LGD of 29%.</w:t>
      </w:r>
    </w:p>
    <w:p>
      <w:pPr>
        <w:pStyle w:val="ListParagraph"/>
        <w:numPr>
          <w:ilvl w:val="0"/>
          <w:numId w:val="2"/>
        </w:numPr>
        <w:spacing w:before="50" w:after="50"/>
      </w:pPr>
      <w:r>
        <w:rPr>
          <w:rFonts w:ascii="Arial" w:cs="Arial" w:eastAsia="Arial" w:hAnsi="Arial"/>
          <w:color w:val="1A1A2E"/>
          <w:sz w:val="20"/>
          <w:szCs w:val="20"/>
        </w:rPr>
        <w:t xml:space="preserve">The rate spread across products (9.0% to 15.5%) reflects product risk tier rather than individual borrower PD.</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Business loan underpricing relative to their PD and LGD profile is intentionally realistic in this simulation. In real banking, SME loans are frequently priced below actuarially fair rates due to relationship lending considerations, competitive market pressure, and cross-sell revenue expectations. This pricing inefficiency is a known contributor to unexpected loss accumulation in Business loan books during stress periods.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Interest rate pricing broadly aligns with product risk tiers. The Business loan pricing gap is a realistic feature — not a model error. Banks frequently underprice SME credit due to relationship banking pressures. This pricing-risk misalignment is one reason Business loans tend to underperform during economic downturns despite appearing adequately priced at origination.</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08  —  Delinquency Rate Analysis</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measure the portfolio delinquency profile at month 12 using the DPD (Days Past Due) ladder concept — a standard retail banking framework for classifying loan health and triggering appropriate management actions.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state,</w:t>
            </w:r>
          </w:p>
          <w:p>
            <w:pPr>
              <w:spacing w:before="16" w:after="16"/>
            </w:pPr>
            <w:r>
              <w:rPr>
                <w:rFonts w:ascii="Courier New" w:cs="Courier New" w:eastAsia="Courier New" w:hAnsi="Courier New"/>
                <w:color w:val="A8D8A8"/>
                <w:sz w:val="17"/>
                <w:szCs w:val="17"/>
              </w:rPr>
              <w:t xml:space="preserve">    COUNT(*)                                              AS loan_count,</w:t>
            </w:r>
          </w:p>
          <w:p>
            <w:pPr>
              <w:spacing w:before="16" w:after="16"/>
            </w:pPr>
            <w:r>
              <w:rPr>
                <w:rFonts w:ascii="Courier New" w:cs="Courier New" w:eastAsia="Courier New" w:hAnsi="Courier New"/>
                <w:color w:val="A8D8A8"/>
                <w:sz w:val="17"/>
                <w:szCs w:val="17"/>
              </w:rPr>
              <w:t xml:space="preserve">    ROUND(COUNT(*)::numeric /</w:t>
            </w:r>
          </w:p>
          <w:p>
            <w:pPr>
              <w:spacing w:before="16" w:after="16"/>
            </w:pPr>
            <w:r>
              <w:rPr>
                <w:rFonts w:ascii="Courier New" w:cs="Courier New" w:eastAsia="Courier New" w:hAnsi="Courier New"/>
                <w:color w:val="A8D8A8"/>
                <w:sz w:val="17"/>
                <w:szCs w:val="17"/>
              </w:rPr>
              <w:t xml:space="preserve">        (SELECT COUNT(*) FROM fact_loan_states</w:t>
            </w:r>
          </w:p>
          <w:p>
            <w:pPr>
              <w:spacing w:before="16" w:after="16"/>
            </w:pPr>
            <w:r>
              <w:rPr>
                <w:rFonts w:ascii="Courier New" w:cs="Courier New" w:eastAsia="Courier New" w:hAnsi="Courier New"/>
                <w:color w:val="A8D8A8"/>
                <w:sz w:val="17"/>
                <w:szCs w:val="17"/>
              </w:rPr>
              <w:t xml:space="preserve">         WHERE month_number = 12) * 100, 2)              AS percent_share</w:t>
            </w:r>
          </w:p>
          <w:p>
            <w:pPr>
              <w:spacing w:before="16" w:after="16"/>
            </w:pPr>
            <w:r>
              <w:rPr>
                <w:rFonts w:ascii="Courier New" w:cs="Courier New" w:eastAsia="Courier New" w:hAnsi="Courier New"/>
                <w:color w:val="A8D8A8"/>
                <w:sz w:val="17"/>
                <w:szCs w:val="17"/>
              </w:rPr>
              <w:t xml:space="preserve">FROM fact_loan_states</w:t>
            </w:r>
          </w:p>
          <w:p>
            <w:pPr>
              <w:spacing w:before="16" w:after="16"/>
            </w:pPr>
            <w:r>
              <w:rPr>
                <w:rFonts w:ascii="Courier New" w:cs="Courier New" w:eastAsia="Courier New" w:hAnsi="Courier New"/>
                <w:color w:val="A8D8A8"/>
                <w:sz w:val="17"/>
                <w:szCs w:val="17"/>
              </w:rPr>
              <w:t xml:space="preserve">WHERE month_number = 12</w:t>
            </w:r>
          </w:p>
          <w:p>
            <w:pPr>
              <w:spacing w:before="16" w:after="16"/>
            </w:pPr>
            <w:r>
              <w:rPr>
                <w:rFonts w:ascii="Courier New" w:cs="Courier New" w:eastAsia="Courier New" w:hAnsi="Courier New"/>
                <w:color w:val="A8D8A8"/>
                <w:sz w:val="17"/>
                <w:szCs w:val="17"/>
              </w:rPr>
              <w:t xml:space="preserve">GROUP BY state</w:t>
            </w:r>
          </w:p>
          <w:p>
            <w:pPr>
              <w:spacing w:before="16" w:after="16"/>
            </w:pPr>
            <w:r>
              <w:rPr>
                <w:rFonts w:ascii="Courier New" w:cs="Courier New" w:eastAsia="Courier New" w:hAnsi="Courier New"/>
                <w:color w:val="A8D8A8"/>
                <w:sz w:val="17"/>
                <w:szCs w:val="17"/>
              </w:rPr>
              <w:t xml:space="preserve">ORDER BY percent_share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Count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Share%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114,048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92.29%</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6,308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5.10%</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1.15%</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1,245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1.01%</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0.45%</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92.29% of loans remain Current at month 12 — indicating a broadly healthy portfolio at the end of the observation window.</w:t>
      </w:r>
    </w:p>
    <w:p>
      <w:pPr>
        <w:pStyle w:val="ListParagraph"/>
        <w:numPr>
          <w:ilvl w:val="0"/>
          <w:numId w:val="2"/>
        </w:numPr>
        <w:spacing w:before="50" w:after="50"/>
      </w:pPr>
      <w:r>
        <w:rPr>
          <w:rFonts w:ascii="Arial" w:cs="Arial" w:eastAsia="Arial" w:hAnsi="Arial"/>
          <w:color w:val="1A1A2E"/>
          <w:sz w:val="20"/>
          <w:szCs w:val="20"/>
        </w:rPr>
        <w:t xml:space="preserve">5.10% are in early delinquency (30DPD) — the primary watch and early intervention bucket.</w:t>
      </w:r>
    </w:p>
    <w:p>
      <w:pPr>
        <w:pStyle w:val="ListParagraph"/>
        <w:numPr>
          <w:ilvl w:val="0"/>
          <w:numId w:val="2"/>
        </w:numPr>
        <w:spacing w:before="50" w:after="50"/>
      </w:pPr>
      <w:r>
        <w:rPr>
          <w:rFonts w:ascii="Arial" w:cs="Arial" w:eastAsia="Arial" w:hAnsi="Arial"/>
          <w:color w:val="1A1A2E"/>
          <w:sz w:val="20"/>
          <w:szCs w:val="20"/>
        </w:rPr>
        <w:t xml:space="preserve">NPA rate of 1.15% at month 12 is consistent with a well-managed retail loan portfolio over a 12-month observation window.</w:t>
      </w:r>
    </w:p>
    <w:p>
      <w:pPr>
        <w:pStyle w:val="ListParagraph"/>
        <w:numPr>
          <w:ilvl w:val="0"/>
          <w:numId w:val="2"/>
        </w:numPr>
        <w:spacing w:before="50" w:after="50"/>
      </w:pPr>
      <w:r>
        <w:rPr>
          <w:rFonts w:ascii="Arial" w:cs="Arial" w:eastAsia="Arial" w:hAnsi="Arial"/>
          <w:color w:val="1A1A2E"/>
          <w:sz w:val="20"/>
          <w:szCs w:val="20"/>
        </w:rPr>
        <w:t xml:space="preserve">The DPD bucket ladder shows progressive thinning: 5.10% (30DPD) to 1.01% (60DPD) to 0.45% (90DPD) to 1.15% (NPA).</w:t>
      </w:r>
    </w:p>
    <w:p>
      <w:pPr>
        <w:pStyle w:val="ListParagraph"/>
        <w:numPr>
          <w:ilvl w:val="0"/>
          <w:numId w:val="2"/>
        </w:numPr>
        <w:spacing w:before="50" w:after="50"/>
      </w:pPr>
      <w:r>
        <w:rPr>
          <w:rFonts w:ascii="Arial" w:cs="Arial" w:eastAsia="Arial" w:hAnsi="Arial"/>
          <w:color w:val="1A1A2E"/>
          <w:sz w:val="20"/>
          <w:szCs w:val="20"/>
        </w:rPr>
        <w:t xml:space="preserve">NPA count (1,426) exceeds 90DPD count (556): loans that cross the 90DPD threshold transition into NPA and remain there in subsequent months. Therefore the NPA stock accumulates across the observation window, while the 90DPD bucket only reflects accounts currently at that delinquency stage — not the total that have ever passed through it.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DPD ladder concept: retail portfolios classify loans by days since missed payment. Current = no overdue payment. 30DPD = 1-30 days overdue. 60DPD = 31-60 days overdue. 90DPD = 61-90 days overdue. NPA = over 90 days past due and classified as non-performing per RBI guidelines. Each bucket carries different provisioning requirements and collection strategies.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delinquency funnel follows the expected pattern for a young retail portfolio. The 30DPD bucket being the largest non-current bucket confirms that most early-stage delinquencies resolve before progressing — consistent with the 47% cure rate observed in Analysis 15. The 1.15% NPA rate is consistent with a well-managed retail portfolio on a 12-month observation window.</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09  —  Loan State Distribution</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analyse the aggregate distribution of all 1,484,088 loan-month observations across delinquency states over the full 12-month lifecycle. This longitudinal view complements the cross-sectional month-12 snapshot in Analysis 08.</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state,</w:t>
            </w:r>
          </w:p>
          <w:p>
            <w:pPr>
              <w:spacing w:before="16" w:after="16"/>
            </w:pPr>
            <w:r>
              <w:rPr>
                <w:rFonts w:ascii="Courier New" w:cs="Courier New" w:eastAsia="Courier New" w:hAnsi="Courier New"/>
                <w:color w:val="A8D8A8"/>
                <w:sz w:val="17"/>
                <w:szCs w:val="17"/>
              </w:rPr>
              <w:t xml:space="preserve">    COUNT(*)                                                AS loan_observations,</w:t>
            </w:r>
          </w:p>
          <w:p>
            <w:pPr>
              <w:spacing w:before="16" w:after="16"/>
            </w:pPr>
            <w:r>
              <w:rPr>
                <w:rFonts w:ascii="Courier New" w:cs="Courier New" w:eastAsia="Courier New" w:hAnsi="Courier New"/>
                <w:color w:val="A8D8A8"/>
                <w:sz w:val="17"/>
                <w:szCs w:val="17"/>
              </w:rPr>
              <w:t xml:space="preserve">    ROUND(COUNT(*)::numeric /</w:t>
            </w:r>
          </w:p>
          <w:p>
            <w:pPr>
              <w:spacing w:before="16" w:after="16"/>
            </w:pPr>
            <w:r>
              <w:rPr>
                <w:rFonts w:ascii="Courier New" w:cs="Courier New" w:eastAsia="Courier New" w:hAnsi="Courier New"/>
                <w:color w:val="A8D8A8"/>
                <w:sz w:val="17"/>
                <w:szCs w:val="17"/>
              </w:rPr>
              <w:t xml:space="preserve">        (SELECT COUNT(*) FROM fact_loan_states) * 100, 2)   AS percent_share</w:t>
            </w:r>
          </w:p>
          <w:p>
            <w:pPr>
              <w:spacing w:before="16" w:after="16"/>
            </w:pPr>
            <w:r>
              <w:rPr>
                <w:rFonts w:ascii="Courier New" w:cs="Courier New" w:eastAsia="Courier New" w:hAnsi="Courier New"/>
                <w:color w:val="A8D8A8"/>
                <w:sz w:val="17"/>
                <w:szCs w:val="17"/>
              </w:rPr>
              <w:t xml:space="preserve">FROM fact_loan_states</w:t>
            </w:r>
          </w:p>
          <w:p>
            <w:pPr>
              <w:spacing w:before="16" w:after="16"/>
            </w:pPr>
            <w:r>
              <w:rPr>
                <w:rFonts w:ascii="Courier New" w:cs="Courier New" w:eastAsia="Courier New" w:hAnsi="Courier New"/>
                <w:color w:val="A8D8A8"/>
                <w:sz w:val="17"/>
                <w:szCs w:val="17"/>
              </w:rPr>
              <w:t xml:space="preserve">GROUP BY state</w:t>
            </w:r>
          </w:p>
          <w:p>
            <w:pPr>
              <w:spacing w:before="16" w:after="16"/>
            </w:pPr>
            <w:r>
              <w:rPr>
                <w:rFonts w:ascii="Courier New" w:cs="Courier New" w:eastAsia="Courier New" w:hAnsi="Courier New"/>
                <w:color w:val="A8D8A8"/>
                <w:sz w:val="17"/>
                <w:szCs w:val="17"/>
              </w:rPr>
              <w:t xml:space="preserve">ORDER BY percent_share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Observations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Share%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1,393,888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93.92%</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69,454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4.68%</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11,014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0.74%</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NPA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5,746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0.39%</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3,986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0.27%</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93.92% of all loan-month observations are in Current state across the full 12-month window.</w:t>
      </w:r>
    </w:p>
    <w:p>
      <w:pPr>
        <w:pStyle w:val="ListParagraph"/>
        <w:numPr>
          <w:ilvl w:val="0"/>
          <w:numId w:val="2"/>
        </w:numPr>
        <w:spacing w:before="50" w:after="50"/>
      </w:pPr>
      <w:r>
        <w:rPr>
          <w:rFonts w:ascii="Arial" w:cs="Arial" w:eastAsia="Arial" w:hAnsi="Arial"/>
          <w:color w:val="1A1A2E"/>
          <w:sz w:val="20"/>
          <w:szCs w:val="20"/>
        </w:rPr>
        <w:t xml:space="preserve">30DPD accounts for 4.68% of observations — the dominant non-current state, consistent with the 47% monthly cure rate.</w:t>
      </w:r>
    </w:p>
    <w:p>
      <w:pPr>
        <w:pStyle w:val="ListParagraph"/>
        <w:numPr>
          <w:ilvl w:val="0"/>
          <w:numId w:val="2"/>
        </w:numPr>
        <w:spacing w:before="50" w:after="50"/>
      </w:pPr>
      <w:r>
        <w:rPr>
          <w:rFonts w:ascii="Arial" w:cs="Arial" w:eastAsia="Arial" w:hAnsi="Arial"/>
          <w:color w:val="1A1A2E"/>
          <w:sz w:val="20"/>
          <w:szCs w:val="20"/>
        </w:rPr>
        <w:t xml:space="preserve">NPA aggregate share of 0.39% reflects the gradual build from 0% at month 1 to 1.15% at month 12.</w:t>
      </w:r>
    </w:p>
    <w:p>
      <w:pPr>
        <w:pStyle w:val="ListParagraph"/>
        <w:numPr>
          <w:ilvl w:val="0"/>
          <w:numId w:val="2"/>
        </w:numPr>
        <w:spacing w:before="50" w:after="50"/>
      </w:pPr>
      <w:r>
        <w:rPr>
          <w:rFonts w:ascii="Arial" w:cs="Arial" w:eastAsia="Arial" w:hAnsi="Arial"/>
          <w:color w:val="1A1A2E"/>
          <w:sz w:val="20"/>
          <w:szCs w:val="20"/>
        </w:rPr>
        <w:t xml:space="preserve">Total observation count: 123,674 loans x 12 months = 1,484,088 rows — each loan contributes exactly one record per month.</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The aggregate NPA share (0.39%) is lower than the month-12 NPA snapshot (1.15%) because months 1-3 contribute zero NPA observations — those early months dilute the aggregate. The month-12 cross-sectional view in Analysis 08 is the more operationally relevant metric. Both are necessary: aggregate for full lifecycle exposure, snapshot for current portfolio status.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aggregate state distribution reveals the full lifecycle picture. The gap between aggregate NPA (0.39%) and month-12 NPA (1.15%) illustrates how delinquency accumulates over time in a young portfolio — the portfolio appears healthier in aggregate than its current state indicates. This distinction is important for provisioning accuracy in IFRS 9 and Ind AS 109 models.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10  —  Vintage Analysis</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track NPA formation by origination cohort (2021-2024) across the loan lifecycle. Vintage analysis is the standard banking technique for cohort risk tracking — it reveals whether loans originated in different periods perform differently and when in the lifecycle default risk peaks.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fl.origination_year,</w:t>
            </w:r>
          </w:p>
          <w:p>
            <w:pPr>
              <w:spacing w:before="16" w:after="16"/>
            </w:pPr>
            <w:r>
              <w:rPr>
                <w:rFonts w:ascii="Courier New" w:cs="Courier New" w:eastAsia="Courier New" w:hAnsi="Courier New"/>
                <w:color w:val="A8D8A8"/>
                <w:sz w:val="17"/>
                <w:szCs w:val="17"/>
              </w:rPr>
              <w:t xml:space="preserve">    fls.month_number,</w:t>
            </w:r>
          </w:p>
          <w:p>
            <w:pPr>
              <w:spacing w:before="16" w:after="16"/>
            </w:pPr>
            <w:r>
              <w:rPr>
                <w:rFonts w:ascii="Courier New" w:cs="Courier New" w:eastAsia="Courier New" w:hAnsi="Courier New"/>
                <w:color w:val="A8D8A8"/>
                <w:sz w:val="17"/>
                <w:szCs w:val="17"/>
              </w:rPr>
              <w:t xml:space="preserve">    COUNT(*) FILTER (WHERE fls.state = 'NPA') AS npa_loans,</w:t>
            </w:r>
          </w:p>
          <w:p>
            <w:pPr>
              <w:spacing w:before="16" w:after="16"/>
            </w:pPr>
            <w:r>
              <w:rPr>
                <w:rFonts w:ascii="Courier New" w:cs="Courier New" w:eastAsia="Courier New" w:hAnsi="Courier New"/>
                <w:color w:val="A8D8A8"/>
                <w:sz w:val="17"/>
                <w:szCs w:val="17"/>
              </w:rPr>
              <w:t xml:space="preserve">    COUNT(*)                                   AS total_loans,</w:t>
            </w:r>
          </w:p>
          <w:p>
            <w:pPr>
              <w:spacing w:before="16" w:after="16"/>
            </w:pPr>
            <w:r>
              <w:rPr>
                <w:rFonts w:ascii="Courier New" w:cs="Courier New" w:eastAsia="Courier New" w:hAnsi="Courier New"/>
                <w:color w:val="A8D8A8"/>
                <w:sz w:val="17"/>
                <w:szCs w:val="17"/>
              </w:rPr>
              <w:t xml:space="preserve">    ROUND(COUNT(*) FILTER (WHERE fls.state = 'NPA')</w:t>
            </w:r>
          </w:p>
          <w:p>
            <w:pPr>
              <w:spacing w:before="16" w:after="16"/>
            </w:pPr>
            <w:r>
              <w:rPr>
                <w:rFonts w:ascii="Courier New" w:cs="Courier New" w:eastAsia="Courier New" w:hAnsi="Courier New"/>
                <w:color w:val="A8D8A8"/>
                <w:sz w:val="17"/>
                <w:szCs w:val="17"/>
              </w:rPr>
              <w:t xml:space="preserve">        * 100.0 / COUNT(*), 3)                AS npa_rate_percent</w:t>
            </w:r>
          </w:p>
          <w:p>
            <w:pPr>
              <w:spacing w:before="16" w:after="16"/>
            </w:pPr>
            <w:r>
              <w:rPr>
                <w:rFonts w:ascii="Courier New" w:cs="Courier New" w:eastAsia="Courier New" w:hAnsi="Courier New"/>
                <w:color w:val="A8D8A8"/>
                <w:sz w:val="17"/>
                <w:szCs w:val="17"/>
              </w:rPr>
              <w:t xml:space="preserve">FROM fact_loan_states fls</w:t>
            </w:r>
          </w:p>
          <w:p>
            <w:pPr>
              <w:spacing w:before="16" w:after="16"/>
            </w:pPr>
            <w:r>
              <w:rPr>
                <w:rFonts w:ascii="Courier New" w:cs="Courier New" w:eastAsia="Courier New" w:hAnsi="Courier New"/>
                <w:color w:val="A8D8A8"/>
                <w:sz w:val="17"/>
                <w:szCs w:val="17"/>
              </w:rPr>
              <w:t xml:space="preserve">JOIN fact_loans fl ON fls.loan_id = fl.loan_id</w:t>
            </w:r>
          </w:p>
          <w:p>
            <w:pPr>
              <w:spacing w:before="16" w:after="16"/>
            </w:pPr>
            <w:r>
              <w:rPr>
                <w:rFonts w:ascii="Courier New" w:cs="Courier New" w:eastAsia="Courier New" w:hAnsi="Courier New"/>
                <w:color w:val="A8D8A8"/>
                <w:sz w:val="17"/>
                <w:szCs w:val="17"/>
              </w:rPr>
              <w:t xml:space="preserve">GROUP BY fl.origination_year, fls.month_number</w:t>
            </w:r>
          </w:p>
          <w:p>
            <w:pPr>
              <w:spacing w:before="16" w:after="16"/>
            </w:pPr>
            <w:r>
              <w:rPr>
                <w:rFonts w:ascii="Courier New" w:cs="Courier New" w:eastAsia="Courier New" w:hAnsi="Courier New"/>
                <w:color w:val="A8D8A8"/>
                <w:sz w:val="17"/>
                <w:szCs w:val="17"/>
              </w:rPr>
              <w:t xml:space="preserve">ORDER BY fl.origination_year, fls.month_number;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2021 NPA%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2022 NPA%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2023 NPA%</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2024 NPA%</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0.129%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0.097%</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0.343%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0.125%</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0.424%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0.320%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0.520%</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0.795%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0.700%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1.878%</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0.945%</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2023 cohort reaches 1.878% NPA by month 12 — 2.4 times higher than 2021 (0.795%) and 2022 (0.700%).</w:t>
      </w:r>
    </w:p>
    <w:p>
      <w:pPr>
        <w:pStyle w:val="ListParagraph"/>
        <w:numPr>
          <w:ilvl w:val="0"/>
          <w:numId w:val="2"/>
        </w:numPr>
        <w:spacing w:before="50" w:after="50"/>
      </w:pPr>
      <w:r>
        <w:rPr>
          <w:rFonts w:ascii="Arial" w:cs="Arial" w:eastAsia="Arial" w:hAnsi="Arial"/>
          <w:color w:val="1A1A2E"/>
          <w:sz w:val="20"/>
          <w:szCs w:val="20"/>
        </w:rPr>
        <w:t xml:space="preserve">All cohorts show zero NPA in months 1-3, confirming correct early-stage loan behaviour across all origination years.</w:t>
      </w:r>
    </w:p>
    <w:p>
      <w:pPr>
        <w:pStyle w:val="ListParagraph"/>
        <w:numPr>
          <w:ilvl w:val="0"/>
          <w:numId w:val="2"/>
        </w:numPr>
        <w:spacing w:before="50" w:after="50"/>
      </w:pPr>
      <w:r>
        <w:rPr>
          <w:rFonts w:ascii="Arial" w:cs="Arial" w:eastAsia="Arial" w:hAnsi="Arial"/>
          <w:color w:val="1A1A2E"/>
          <w:sz w:val="20"/>
          <w:szCs w:val="20"/>
        </w:rPr>
        <w:t xml:space="preserve">2024 cohort shows 0.945% NPA at month 12 — elevated above 2021 and 2022 cohorts due to macro risk factor of 1.1.</w:t>
      </w:r>
    </w:p>
    <w:p>
      <w:pPr>
        <w:pStyle w:val="ListParagraph"/>
        <w:numPr>
          <w:ilvl w:val="0"/>
          <w:numId w:val="2"/>
        </w:numPr>
        <w:spacing w:before="50" w:after="50"/>
      </w:pPr>
      <w:r>
        <w:rPr>
          <w:rFonts w:ascii="Arial" w:cs="Arial" w:eastAsia="Arial" w:hAnsi="Arial"/>
          <w:color w:val="1A1A2E"/>
          <w:sz w:val="20"/>
          <w:szCs w:val="20"/>
        </w:rPr>
        <w:t xml:space="preserve">The cohort divergence from 2023 becomes visible from month 5 onwards and widens through month 12.</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Vintage analysis is complementary to the macro year effect analysis in Analysis 16. Vintage tracks the full NPA curve shape per cohort across all months. The macro analysis isolates the origination-year risk differential at month 12. Both views are needed: vintage for lifecycle shape and trajectory, macro for cross-cohort comparison at a point in time.</w:t>
      </w:r>
    </w:p>
    <w:p>
      <w:pPr>
        <w:pStyle w:val="ListParagraph"/>
        <w:numPr>
          <w:ilvl w:val="0"/>
          <w:numId w:val="3"/>
        </w:numPr>
        <w:spacing w:before="40" w:after="40"/>
      </w:pPr>
      <w:r>
        <w:rPr>
          <w:rFonts w:ascii="Arial" w:cs="Arial" w:eastAsia="Arial" w:hAnsi="Arial"/>
          <w:i/>
          <w:iCs/>
          <w:color w:val="444444"/>
          <w:sz w:val="18"/>
          <w:szCs w:val="18"/>
        </w:rPr>
        <w:t xml:space="preserve">Vintage curves reveal underwriting deterioration — if a later cohort shows higher NPA at the same loan age, it indicates either weaker underwriting standards or more adverse macro conditions at origination. In this simulation, the 2023 cohort underperformance is attributable to the macro_risk multiplier of 1.4.</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2023 vintage clearly underperforms throughout the entire lifecycle — not just at month 12. This confirms that macro stress affects ongoing transition probabilities, creating sustained elevated default risk for the affected cohort. In real banking, vintage curves are used to calibrate forward-looking provisions and adjust risk appetite for new originations in stress environments.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11  —  Monthly Portfolio Growth</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track monthly loan origination volume, exposure growth, and expected loss accumulation across 2021-2024, revealing portfolio expansion trends, seasonal patterns, and the relationship between growth rate and risk accumulation.</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origination_year,</w:t>
            </w:r>
          </w:p>
          <w:p>
            <w:pPr>
              <w:spacing w:before="16" w:after="16"/>
            </w:pPr>
            <w:r>
              <w:rPr>
                <w:rFonts w:ascii="Courier New" w:cs="Courier New" w:eastAsia="Courier New" w:hAnsi="Courier New"/>
                <w:color w:val="A8D8A8"/>
                <w:sz w:val="17"/>
                <w:szCs w:val="17"/>
              </w:rPr>
              <w:t xml:space="preserve">    origination_month,</w:t>
            </w:r>
          </w:p>
          <w:p>
            <w:pPr>
              <w:spacing w:before="16" w:after="16"/>
            </w:pPr>
            <w:r>
              <w:rPr>
                <w:rFonts w:ascii="Courier New" w:cs="Courier New" w:eastAsia="Courier New" w:hAnsi="Courier New"/>
                <w:color w:val="A8D8A8"/>
                <w:sz w:val="17"/>
                <w:szCs w:val="17"/>
              </w:rPr>
              <w:t xml:space="preserve">    COUNT(loan_id)                        AS loans_originated,</w:t>
            </w:r>
          </w:p>
          <w:p>
            <w:pPr>
              <w:spacing w:before="16" w:after="16"/>
            </w:pPr>
            <w:r>
              <w:rPr>
                <w:rFonts w:ascii="Courier New" w:cs="Courier New" w:eastAsia="Courier New" w:hAnsi="Courier New"/>
                <w:color w:val="A8D8A8"/>
                <w:sz w:val="17"/>
                <w:szCs w:val="17"/>
              </w:rPr>
              <w:t xml:space="preserve">    ROUND(SUM(ead)::numeric, 0)           AS monthly_ead,</w:t>
            </w:r>
          </w:p>
          <w:p>
            <w:pPr>
              <w:spacing w:before="16" w:after="16"/>
            </w:pPr>
            <w:r>
              <w:rPr>
                <w:rFonts w:ascii="Courier New" w:cs="Courier New" w:eastAsia="Courier New" w:hAnsi="Courier New"/>
                <w:color w:val="A8D8A8"/>
                <w:sz w:val="17"/>
                <w:szCs w:val="17"/>
              </w:rPr>
              <w:t xml:space="preserve">    ROUND(SUM(expected_loss)::numeric, 0) AS monthly_el</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origination_year, origination_month</w:t>
            </w:r>
          </w:p>
          <w:p>
            <w:pPr>
              <w:spacing w:before="16" w:after="16"/>
            </w:pPr>
            <w:r>
              <w:rPr>
                <w:rFonts w:ascii="Courier New" w:cs="Courier New" w:eastAsia="Courier New" w:hAnsi="Courier New"/>
                <w:color w:val="A8D8A8"/>
                <w:sz w:val="17"/>
                <w:szCs w:val="17"/>
              </w:rPr>
              <w:t xml:space="preserve">ORDER BY origination_year, origination_month;</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Loans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YoY Growth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Monthly Loans</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18,623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1,552</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2022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24,711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2,059</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37,058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3,088</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43,282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+16.8%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3,607</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Portfolio grew from 18,623 loans in 2021 to 43,282 in 2024 — a 132% increase over 4 years.</w:t>
      </w:r>
    </w:p>
    <w:p>
      <w:pPr>
        <w:pStyle w:val="ListParagraph"/>
        <w:numPr>
          <w:ilvl w:val="0"/>
          <w:numId w:val="2"/>
        </w:numPr>
        <w:spacing w:before="50" w:after="50"/>
      </w:pPr>
      <w:r>
        <w:rPr>
          <w:rFonts w:ascii="Arial" w:cs="Arial" w:eastAsia="Arial" w:hAnsi="Arial"/>
          <w:color w:val="1A1A2E"/>
          <w:sz w:val="20"/>
          <w:szCs w:val="20"/>
        </w:rPr>
        <w:t xml:space="preserve">Peak origination month is November 2024 with 5,193 loans, reflecting festive-season lending patterns in the Indian retail credit cycle.</w:t>
      </w:r>
    </w:p>
    <w:p>
      <w:pPr>
        <w:pStyle w:val="ListParagraph"/>
        <w:numPr>
          <w:ilvl w:val="0"/>
          <w:numId w:val="2"/>
        </w:numPr>
        <w:spacing w:before="50" w:after="50"/>
      </w:pPr>
      <w:r>
        <w:rPr>
          <w:rFonts w:ascii="Arial" w:cs="Arial" w:eastAsia="Arial" w:hAnsi="Arial"/>
          <w:color w:val="1A1A2E"/>
          <w:sz w:val="20"/>
          <w:szCs w:val="20"/>
        </w:rPr>
        <w:t xml:space="preserve">October through December consistently shows higher originations, consistent with Q3 festival season lending demand.</w:t>
      </w:r>
    </w:p>
    <w:p>
      <w:pPr>
        <w:pStyle w:val="ListParagraph"/>
        <w:numPr>
          <w:ilvl w:val="0"/>
          <w:numId w:val="2"/>
        </w:numPr>
        <w:spacing w:before="50" w:after="50"/>
      </w:pPr>
      <w:r>
        <w:rPr>
          <w:rFonts w:ascii="Arial" w:cs="Arial" w:eastAsia="Arial" w:hAnsi="Arial"/>
          <w:color w:val="1A1A2E"/>
          <w:sz w:val="20"/>
          <w:szCs w:val="20"/>
        </w:rPr>
        <w:t xml:space="preserve">2023 shows the highest year-on-year growth at 50%, coinciding with the macro stress year — a compounding risk concentration factor.</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Volume-risk tradeoff: rapid portfolio growth often coincides with weaker underwriting discipline — a phenomenon known as adverse selection under growth pressure. In this simulation, growth rates are controlled design parameters. In real portfolios, credit managers monitor origination velocity as a leading indicator of future delinquency build. The 50% growth in 2023 combined with macro stress makes that vintage a dual risk concentration point.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2023 is the most important year in this portfolio from a risk perspective: largest origination volume (50% YoY growth) combined with highest macro stress factor (1.4x). The result is the largest cohort with the worst NPA outcome. This compounding effect — rapid growth under stress — is the core risk narrative of this portfolio and the key finding for dashboard storytelling.</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12  —  Branch Risk Factor Impact</w:t>
      </w:r>
    </w:p>
    <w:p>
      <w:pPr>
        <w:keepNext/>
        <w:shd w:fill="2E75B6" w:val="clear"/>
        <w:spacing w:before="0" w:after="160"/>
        <w:ind w:left="180" w:right="180"/>
      </w:pPr>
      <w:r>
        <w:rPr>
          <w:rFonts w:ascii="Arial" w:cs="Arial" w:eastAsia="Arial" w:hAnsi="Arial"/>
          <w:color w:val="FFFFFF"/>
          <w:sz w:val="19"/>
          <w:szCs w:val="19"/>
        </w:rPr>
        <w:t xml:space="preserve">Category: Core Risk Analysis</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validate that branch risk calibration parameters — branch_risk_factor, override_rate, and exposure_multiplier — produce measurably different credit outcomes across branch tiers, confirming model parameter sensitivity.</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db.branch_group,</w:t>
            </w:r>
          </w:p>
          <w:p>
            <w:pPr>
              <w:spacing w:before="16" w:after="16"/>
            </w:pPr>
            <w:r>
              <w:rPr>
                <w:rFonts w:ascii="Courier New" w:cs="Courier New" w:eastAsia="Courier New" w:hAnsi="Courier New"/>
                <w:color w:val="A8D8A8"/>
                <w:sz w:val="17"/>
                <w:szCs w:val="17"/>
              </w:rPr>
              <w:t xml:space="preserve">    db.branch_risk_factor,</w:t>
            </w:r>
          </w:p>
          <w:p>
            <w:pPr>
              <w:spacing w:before="16" w:after="16"/>
            </w:pPr>
            <w:r>
              <w:rPr>
                <w:rFonts w:ascii="Courier New" w:cs="Courier New" w:eastAsia="Courier New" w:hAnsi="Courier New"/>
                <w:color w:val="A8D8A8"/>
                <w:sz w:val="17"/>
                <w:szCs w:val="17"/>
              </w:rPr>
              <w:t xml:space="preserve">    db.override_rate,</w:t>
            </w:r>
          </w:p>
          <w:p>
            <w:pPr>
              <w:spacing w:before="16" w:after="16"/>
            </w:pPr>
            <w:r>
              <w:rPr>
                <w:rFonts w:ascii="Courier New" w:cs="Courier New" w:eastAsia="Courier New" w:hAnsi="Courier New"/>
                <w:color w:val="A8D8A8"/>
                <w:sz w:val="17"/>
                <w:szCs w:val="17"/>
              </w:rPr>
              <w:t xml:space="preserve">    COUNT(fl.loan_id)                        AS total_loans,</w:t>
            </w:r>
          </w:p>
          <w:p>
            <w:pPr>
              <w:spacing w:before="16" w:after="16"/>
            </w:pPr>
            <w:r>
              <w:rPr>
                <w:rFonts w:ascii="Courier New" w:cs="Courier New" w:eastAsia="Courier New" w:hAnsi="Courier New"/>
                <w:color w:val="A8D8A8"/>
                <w:sz w:val="17"/>
                <w:szCs w:val="17"/>
              </w:rPr>
              <w:t xml:space="preserve">    ROUND(AVG(fl.pd) * 100, 3)               AS avg_pd_percent,</w:t>
            </w:r>
          </w:p>
          <w:p>
            <w:pPr>
              <w:spacing w:before="16" w:after="16"/>
            </w:pPr>
            <w:r>
              <w:rPr>
                <w:rFonts w:ascii="Courier New" w:cs="Courier New" w:eastAsia="Courier New" w:hAnsi="Courier New"/>
                <w:color w:val="A8D8A8"/>
                <w:sz w:val="17"/>
                <w:szCs w:val="17"/>
              </w:rPr>
              <w:t xml:space="preserve">    ROUND(SUM(fl.expected_loss)::numeric, 0) AS total_el,</w:t>
            </w:r>
          </w:p>
          <w:p>
            <w:pPr>
              <w:spacing w:before="16" w:after="16"/>
            </w:pPr>
            <w:r>
              <w:rPr>
                <w:rFonts w:ascii="Courier New" w:cs="Courier New" w:eastAsia="Courier New" w:hAnsi="Courier New"/>
                <w:color w:val="A8D8A8"/>
                <w:sz w:val="17"/>
                <w:szCs w:val="17"/>
              </w:rPr>
              <w:t xml:space="preserve">    ROUND(SUM(fl.ead)::numeric, 0)           AS total_ead</w:t>
            </w:r>
          </w:p>
          <w:p>
            <w:pPr>
              <w:spacing w:before="16" w:after="16"/>
            </w:pPr>
            <w:r>
              <w:rPr>
                <w:rFonts w:ascii="Courier New" w:cs="Courier New" w:eastAsia="Courier New" w:hAnsi="Courier New"/>
                <w:color w:val="A8D8A8"/>
                <w:sz w:val="17"/>
                <w:szCs w:val="17"/>
              </w:rPr>
              <w:t xml:space="preserve">FROM fact_loans fl</w:t>
            </w:r>
          </w:p>
          <w:p>
            <w:pPr>
              <w:spacing w:before="16" w:after="16"/>
            </w:pPr>
            <w:r>
              <w:rPr>
                <w:rFonts w:ascii="Courier New" w:cs="Courier New" w:eastAsia="Courier New" w:hAnsi="Courier New"/>
                <w:color w:val="A8D8A8"/>
                <w:sz w:val="17"/>
                <w:szCs w:val="17"/>
              </w:rPr>
              <w:t xml:space="preserve">JOIN dim_branch db ON fl.branch_id = db.branch_id</w:t>
            </w:r>
          </w:p>
          <w:p>
            <w:pPr>
              <w:spacing w:before="16" w:after="16"/>
            </w:pPr>
            <w:r>
              <w:rPr>
                <w:rFonts w:ascii="Courier New" w:cs="Courier New" w:eastAsia="Courier New" w:hAnsi="Courier New"/>
                <w:color w:val="A8D8A8"/>
                <w:sz w:val="17"/>
                <w:szCs w:val="17"/>
              </w:rPr>
              <w:t xml:space="preserve">GROUP BY db.branch_group, db.branch_risk_factor, db.override_rate</w:t>
            </w:r>
          </w:p>
          <w:p>
            <w:pPr>
              <w:spacing w:before="16" w:after="16"/>
            </w:pPr>
            <w:r>
              <w:rPr>
                <w:rFonts w:ascii="Courier New" w:cs="Courier New" w:eastAsia="Courier New" w:hAnsi="Courier New"/>
                <w:color w:val="A8D8A8"/>
                <w:sz w:val="17"/>
                <w:szCs w:val="17"/>
              </w:rPr>
              <w:t xml:space="preserve">ORDER BY db.branch_risk_factor;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Branch Group</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 Factor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Override Rate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EL (Rs Cr)</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1,478</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5.85%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1,541</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731</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Stress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1.35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8.41%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145</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Average PD scales monotonically with branch_risk_factor — from 4.92% at factor 0.85 to 8.41% at factor 1.35.</w:t>
      </w:r>
    </w:p>
    <w:p>
      <w:pPr>
        <w:pStyle w:val="ListParagraph"/>
        <w:numPr>
          <w:ilvl w:val="0"/>
          <w:numId w:val="2"/>
        </w:numPr>
        <w:spacing w:before="50" w:after="50"/>
      </w:pPr>
      <w:r>
        <w:rPr>
          <w:rFonts w:ascii="Arial" w:cs="Arial" w:eastAsia="Arial" w:hAnsi="Arial"/>
          <w:color w:val="1A1A2E"/>
          <w:sz w:val="20"/>
          <w:szCs w:val="20"/>
        </w:rPr>
        <w:t xml:space="preserve">Stress branch has 71% higher average PD than Low Risk branches — confirming risk factor sensitivity.</w:t>
      </w:r>
    </w:p>
    <w:p>
      <w:pPr>
        <w:pStyle w:val="ListParagraph"/>
        <w:numPr>
          <w:ilvl w:val="0"/>
          <w:numId w:val="2"/>
        </w:numPr>
        <w:spacing w:before="50" w:after="50"/>
      </w:pPr>
      <w:r>
        <w:rPr>
          <w:rFonts w:ascii="Arial" w:cs="Arial" w:eastAsia="Arial" w:hAnsi="Arial"/>
          <w:color w:val="1A1A2E"/>
          <w:sz w:val="20"/>
          <w:szCs w:val="20"/>
        </w:rPr>
        <w:t xml:space="preserve">Total EL is highest for Normal branches due to volume (51,872 loans) despite moderate risk factor.</w:t>
      </w:r>
    </w:p>
    <w:p>
      <w:pPr>
        <w:pStyle w:val="ListParagraph"/>
        <w:numPr>
          <w:ilvl w:val="0"/>
          <w:numId w:val="2"/>
        </w:numPr>
        <w:spacing w:before="50" w:after="50"/>
      </w:pPr>
      <w:r>
        <w:rPr>
          <w:rFonts w:ascii="Arial" w:cs="Arial" w:eastAsia="Arial" w:hAnsi="Arial"/>
          <w:color w:val="1A1A2E"/>
          <w:sz w:val="20"/>
          <w:szCs w:val="20"/>
        </w:rPr>
        <w:t xml:space="preserve">Override rates increase with risk tier from 0.6% to 2.0% — higher-risk branches have more PD reduction interventions applied.</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Branch risk factors are calibration parameters in this simulation. The clean monotonic PD scaling reflects the direct multiplicative effect of branch_risk_factor on base PD. In real risk models, branch-level risk factors would be estimated from historical default data and would show more dispersion due to local economic conditions, loan officer quality, and portfolio composition effects.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Branch risk factors are working exactly as designed. The monotonic PD scaling from 4.92% to 8.41% validates that branch-level calibration parameters correctly influence observed portfolio outcomes. This type of parameter sensitivity validation is standard practice in model governance — demonstrating that each input variable produces directionally correct and proportionate output effects.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13  —  NPA Trend by Month</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track the monthly progression of NPA formation across the 12-month loan lifecycle, measuring how the delinquency accumulation curve builds from zero at origination to the observed terminal rate.</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month_number,</w:t>
            </w:r>
          </w:p>
          <w:p>
            <w:pPr>
              <w:spacing w:before="16" w:after="16"/>
            </w:pPr>
            <w:r>
              <w:rPr>
                <w:rFonts w:ascii="Courier New" w:cs="Courier New" w:eastAsia="Courier New" w:hAnsi="Courier New"/>
                <w:color w:val="A8D8A8"/>
                <w:sz w:val="17"/>
                <w:szCs w:val="17"/>
              </w:rPr>
              <w:t xml:space="preserve">    COUNT(*) FILTER (WHERE state = 'NPA')  AS npa_loans,</w:t>
            </w:r>
          </w:p>
          <w:p>
            <w:pPr>
              <w:spacing w:before="16" w:after="16"/>
            </w:pPr>
            <w:r>
              <w:rPr>
                <w:rFonts w:ascii="Courier New" w:cs="Courier New" w:eastAsia="Courier New" w:hAnsi="Courier New"/>
                <w:color w:val="A8D8A8"/>
                <w:sz w:val="17"/>
                <w:szCs w:val="17"/>
              </w:rPr>
              <w:t xml:space="preserve">    COUNT(*)                                AS total_loans,</w:t>
            </w:r>
          </w:p>
          <w:p>
            <w:pPr>
              <w:spacing w:before="16" w:after="16"/>
            </w:pPr>
            <w:r>
              <w:rPr>
                <w:rFonts w:ascii="Courier New" w:cs="Courier New" w:eastAsia="Courier New" w:hAnsi="Courier New"/>
                <w:color w:val="A8D8A8"/>
                <w:sz w:val="17"/>
                <w:szCs w:val="17"/>
              </w:rPr>
              <w:t xml:space="preserve">    ROUND(COUNT(*) FILTER (WHERE state = 'NPA')::numeric</w:t>
            </w:r>
          </w:p>
          <w:p>
            <w:pPr>
              <w:spacing w:before="16" w:after="16"/>
            </w:pPr>
            <w:r>
              <w:rPr>
                <w:rFonts w:ascii="Courier New" w:cs="Courier New" w:eastAsia="Courier New" w:hAnsi="Courier New"/>
                <w:color w:val="A8D8A8"/>
                <w:sz w:val="17"/>
                <w:szCs w:val="17"/>
              </w:rPr>
              <w:t xml:space="preserve">        / COUNT(*) * 100, 3)               AS npa_rate_percent</w:t>
            </w:r>
          </w:p>
          <w:p>
            <w:pPr>
              <w:spacing w:before="16" w:after="16"/>
            </w:pPr>
            <w:r>
              <w:rPr>
                <w:rFonts w:ascii="Courier New" w:cs="Courier New" w:eastAsia="Courier New" w:hAnsi="Courier New"/>
                <w:color w:val="A8D8A8"/>
                <w:sz w:val="17"/>
                <w:szCs w:val="17"/>
              </w:rPr>
              <w:t xml:space="preserve">FROM fact_loan_states</w:t>
            </w:r>
          </w:p>
          <w:p>
            <w:pPr>
              <w:spacing w:before="16" w:after="16"/>
            </w:pPr>
            <w:r>
              <w:rPr>
                <w:rFonts w:ascii="Courier New" w:cs="Courier New" w:eastAsia="Courier New" w:hAnsi="Courier New"/>
                <w:color w:val="A8D8A8"/>
                <w:sz w:val="17"/>
                <w:szCs w:val="17"/>
              </w:rPr>
              <w:t xml:space="preserve">GROUP BY month_number</w:t>
            </w:r>
          </w:p>
          <w:p>
            <w:pPr>
              <w:spacing w:before="16" w:after="16"/>
            </w:pPr>
            <w:r>
              <w:rPr>
                <w:rFonts w:ascii="Courier New" w:cs="Courier New" w:eastAsia="Courier New" w:hAnsi="Courier New"/>
                <w:color w:val="A8D8A8"/>
                <w:sz w:val="17"/>
                <w:szCs w:val="17"/>
              </w:rPr>
              <w:t xml:space="preserve">ORDER BY month_number;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NPA Loans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NPA Rate%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 Increment</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0.027%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+0.027%</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0.185%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+0.079%</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788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0.637%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+0.151%</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+0.059%</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Zero NPAs in months 1-3 confirms correct early-stage behaviour — new loans require minimum 3 DPD cycles before NPA classification.</w:t>
      </w:r>
    </w:p>
    <w:p>
      <w:pPr>
        <w:pStyle w:val="ListParagraph"/>
        <w:numPr>
          <w:ilvl w:val="0"/>
          <w:numId w:val="2"/>
        </w:numPr>
        <w:spacing w:before="50" w:after="50"/>
      </w:pPr>
      <w:r>
        <w:rPr>
          <w:rFonts w:ascii="Arial" w:cs="Arial" w:eastAsia="Arial" w:hAnsi="Arial"/>
          <w:color w:val="1A1A2E"/>
          <w:sz w:val="20"/>
          <w:szCs w:val="20"/>
        </w:rPr>
        <w:t xml:space="preserve">First defaults appear in month 4, consistent with the minimum 90-day payment failure requirement before NPA classification.</w:t>
      </w:r>
    </w:p>
    <w:p>
      <w:pPr>
        <w:pStyle w:val="ListParagraph"/>
        <w:numPr>
          <w:ilvl w:val="0"/>
          <w:numId w:val="2"/>
        </w:numPr>
        <w:spacing w:before="50" w:after="50"/>
      </w:pPr>
      <w:r>
        <w:rPr>
          <w:rFonts w:ascii="Arial" w:cs="Arial" w:eastAsia="Arial" w:hAnsi="Arial"/>
          <w:color w:val="1A1A2E"/>
          <w:sz w:val="20"/>
          <w:szCs w:val="20"/>
        </w:rPr>
        <w:t xml:space="preserve">NPA accumulation accelerates through month 9 (highest monthly increment of +0.151%) then begins to moderate, indicating early portfolio seasoning.</w:t>
      </w:r>
    </w:p>
    <w:p>
      <w:pPr>
        <w:pStyle w:val="ListParagraph"/>
        <w:numPr>
          <w:ilvl w:val="0"/>
          <w:numId w:val="2"/>
        </w:numPr>
        <w:spacing w:before="50" w:after="50"/>
      </w:pPr>
      <w:r>
        <w:rPr>
          <w:rFonts w:ascii="Arial" w:cs="Arial" w:eastAsia="Arial" w:hAnsi="Arial"/>
          <w:color w:val="1A1A2E"/>
          <w:sz w:val="20"/>
          <w:szCs w:val="20"/>
        </w:rPr>
        <w:t xml:space="preserve">By month 12, the portfolio carries 1,426 NPA accounts representing 1.153% of active loans.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The smooth NPA accumulation curve is a characteristic of the controlled realism simulation design. Real portfolios show more volatility due to macroeconomic shocks, seasonal payment patterns, and collection campaign effects. The gradual, monotonic build in this model reflects the deterministic transition probability structure rather than stochastic macroeconomic variation.</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NPA growth curve follows the expected delinquency accumulation pattern for a young retail portfolio. The 0% start, progressive build, and moderation near month 12 are all consistent with real retail portfolio behaviour. The 1.153% terminal NPA rate is consistent with a well-managed retail loan portfolio over a 12-month observation window.</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14  —  Roll Rate Transition Matrix</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construct a complete state transition matrix showing the probability of a loan moving between any two delinquency states month-over-month — the core analytical tool for credit migration modelling, stress testing, and IFRS 9 stage classification.</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WITH transitions AS (</w:t>
            </w:r>
          </w:p>
          <w:p>
            <w:pPr>
              <w:spacing w:before="16" w:after="16"/>
            </w:pPr>
            <w:r>
              <w:rPr>
                <w:rFonts w:ascii="Courier New" w:cs="Courier New" w:eastAsia="Courier New" w:hAnsi="Courier New"/>
                <w:color w:val="A8D8A8"/>
                <w:sz w:val="17"/>
                <w:szCs w:val="17"/>
              </w:rPr>
              <w:t xml:space="preserve">    SELECT</w:t>
            </w:r>
          </w:p>
          <w:p>
            <w:pPr>
              <w:spacing w:before="16" w:after="16"/>
            </w:pPr>
            <w:r>
              <w:rPr>
                <w:rFonts w:ascii="Courier New" w:cs="Courier New" w:eastAsia="Courier New" w:hAnsi="Courier New"/>
                <w:color w:val="A8D8A8"/>
                <w:sz w:val="17"/>
                <w:szCs w:val="17"/>
              </w:rPr>
              <w:t xml:space="preserve">        t1.loan_id, t1.month_number,</w:t>
            </w:r>
          </w:p>
          <w:p>
            <w:pPr>
              <w:spacing w:before="16" w:after="16"/>
            </w:pPr>
            <w:r>
              <w:rPr>
                <w:rFonts w:ascii="Courier New" w:cs="Courier New" w:eastAsia="Courier New" w:hAnsi="Courier New"/>
                <w:color w:val="A8D8A8"/>
                <w:sz w:val="17"/>
                <w:szCs w:val="17"/>
              </w:rPr>
              <w:t xml:space="preserve">        t1.state AS current_state,</w:t>
            </w:r>
          </w:p>
          <w:p>
            <w:pPr>
              <w:spacing w:before="16" w:after="16"/>
            </w:pPr>
            <w:r>
              <w:rPr>
                <w:rFonts w:ascii="Courier New" w:cs="Courier New" w:eastAsia="Courier New" w:hAnsi="Courier New"/>
                <w:color w:val="A8D8A8"/>
                <w:sz w:val="17"/>
                <w:szCs w:val="17"/>
              </w:rPr>
              <w:t xml:space="preserve">        t2.state AS next_state</w:t>
            </w:r>
          </w:p>
          <w:p>
            <w:pPr>
              <w:spacing w:before="16" w:after="16"/>
            </w:pPr>
            <w:r>
              <w:rPr>
                <w:rFonts w:ascii="Courier New" w:cs="Courier New" w:eastAsia="Courier New" w:hAnsi="Courier New"/>
                <w:color w:val="A8D8A8"/>
                <w:sz w:val="17"/>
                <w:szCs w:val="17"/>
              </w:rPr>
              <w:t xml:space="preserve">    FROM fact_loan_states t1</w:t>
            </w:r>
          </w:p>
          <w:p>
            <w:pPr>
              <w:spacing w:before="16" w:after="16"/>
            </w:pPr>
            <w:r>
              <w:rPr>
                <w:rFonts w:ascii="Courier New" w:cs="Courier New" w:eastAsia="Courier New" w:hAnsi="Courier New"/>
                <w:color w:val="A8D8A8"/>
                <w:sz w:val="17"/>
                <w:szCs w:val="17"/>
              </w:rPr>
              <w:t xml:space="preserve">    JOIN fact_loan_states t2</w:t>
            </w:r>
          </w:p>
          <w:p>
            <w:pPr>
              <w:spacing w:before="16" w:after="16"/>
            </w:pPr>
            <w:r>
              <w:rPr>
                <w:rFonts w:ascii="Courier New" w:cs="Courier New" w:eastAsia="Courier New" w:hAnsi="Courier New"/>
                <w:color w:val="A8D8A8"/>
                <w:sz w:val="17"/>
                <w:szCs w:val="17"/>
              </w:rPr>
              <w:t xml:space="preserve">        ON  t1.loan_id      = t2.loan_id</w:t>
            </w:r>
          </w:p>
          <w:p>
            <w:pPr>
              <w:spacing w:before="16" w:after="16"/>
            </w:pPr>
            <w:r>
              <w:rPr>
                <w:rFonts w:ascii="Courier New" w:cs="Courier New" w:eastAsia="Courier New" w:hAnsi="Courier New"/>
                <w:color w:val="A8D8A8"/>
                <w:sz w:val="17"/>
                <w:szCs w:val="17"/>
              </w:rPr>
              <w:t xml:space="preserve">        AND t2.month_number = t1.month_number + 1</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current_state, next_state,</w:t>
            </w:r>
          </w:p>
          <w:p>
            <w:pPr>
              <w:spacing w:before="16" w:after="16"/>
            </w:pPr>
            <w:r>
              <w:rPr>
                <w:rFonts w:ascii="Courier New" w:cs="Courier New" w:eastAsia="Courier New" w:hAnsi="Courier New"/>
                <w:color w:val="A8D8A8"/>
                <w:sz w:val="17"/>
                <w:szCs w:val="17"/>
              </w:rPr>
              <w:t xml:space="preserve">    COUNT(*) AS transitions,</w:t>
            </w:r>
          </w:p>
          <w:p>
            <w:pPr>
              <w:spacing w:before="16" w:after="16"/>
            </w:pPr>
            <w:r>
              <w:rPr>
                <w:rFonts w:ascii="Courier New" w:cs="Courier New" w:eastAsia="Courier New" w:hAnsi="Courier New"/>
                <w:color w:val="A8D8A8"/>
                <w:sz w:val="17"/>
                <w:szCs w:val="17"/>
              </w:rPr>
              <w:t xml:space="preserve">    ROUND(COUNT(*)::numeric /</w:t>
            </w:r>
          </w:p>
          <w:p>
            <w:pPr>
              <w:spacing w:before="16" w:after="16"/>
            </w:pPr>
            <w:r>
              <w:rPr>
                <w:rFonts w:ascii="Courier New" w:cs="Courier New" w:eastAsia="Courier New" w:hAnsi="Courier New"/>
                <w:color w:val="A8D8A8"/>
                <w:sz w:val="17"/>
                <w:szCs w:val="17"/>
              </w:rPr>
              <w:t xml:space="preserve">        SUM(COUNT(*)) OVER (PARTITION BY current_state)</w:t>
            </w:r>
          </w:p>
          <w:p>
            <w:pPr>
              <w:spacing w:before="16" w:after="16"/>
            </w:pPr>
            <w:r>
              <w:rPr>
                <w:rFonts w:ascii="Courier New" w:cs="Courier New" w:eastAsia="Courier New" w:hAnsi="Courier New"/>
                <w:color w:val="A8D8A8"/>
                <w:sz w:val="17"/>
                <w:szCs w:val="17"/>
              </w:rPr>
              <w:t xml:space="preserve">        * 100, 2) AS transition_rate_pct</w:t>
            </w:r>
          </w:p>
          <w:p>
            <w:pPr>
              <w:spacing w:before="16" w:after="16"/>
            </w:pPr>
            <w:r>
              <w:rPr>
                <w:rFonts w:ascii="Courier New" w:cs="Courier New" w:eastAsia="Courier New" w:hAnsi="Courier New"/>
                <w:color w:val="A8D8A8"/>
                <w:sz w:val="17"/>
                <w:szCs w:val="17"/>
              </w:rPr>
              <w:t xml:space="preserve">FROM transitions</w:t>
            </w:r>
          </w:p>
          <w:p>
            <w:pPr>
              <w:spacing w:before="16" w:after="16"/>
            </w:pPr>
            <w:r>
              <w:rPr>
                <w:rFonts w:ascii="Courier New" w:cs="Courier New" w:eastAsia="Courier New" w:hAnsi="Courier New"/>
                <w:color w:val="A8D8A8"/>
                <w:sz w:val="17"/>
                <w:szCs w:val="17"/>
              </w:rPr>
              <w:t xml:space="preserve">GROUP BY current_state, next_state</w:t>
            </w:r>
          </w:p>
          <w:p>
            <w:pPr>
              <w:spacing w:before="16" w:after="16"/>
            </w:pPr>
            <w:r>
              <w:rPr>
                <w:rFonts w:ascii="Courier New" w:cs="Courier New" w:eastAsia="Courier New" w:hAnsi="Courier New"/>
                <w:color w:val="A8D8A8"/>
                <w:sz w:val="17"/>
                <w:szCs w:val="17"/>
              </w:rPr>
              <w:t xml:space="preserve">ORDER BY current_state, next_state;</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From 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 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Rate%</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 (stay)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97.18%</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2.82%</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 (cure)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47.83%</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 (stay)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43.25%</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 (escalate)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8.92%</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30DPD (partial cure)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24.63%</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 (stay)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52.76%</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 (escalate)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22.61%</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60DPD (partial cure)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6.65%</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 (stay)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50.31%</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NPA (escalate)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43.05%</w:t>
            </w:r>
          </w:p>
        </w:tc>
      </w:tr>
      <w:tr>
        <w:trPr>
          <w:cantSplit/>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NPA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NPA (persist)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98.82%</w:t>
            </w:r>
          </w:p>
        </w:tc>
      </w:tr>
      <w:tr>
        <w:trPr>
          <w:cantSplit/>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90DPD (recovery)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1.18%</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97.18% of Current loans remain Current month-over-month — high portfolio stability at the performing stage.</w:t>
      </w:r>
    </w:p>
    <w:p>
      <w:pPr>
        <w:pStyle w:val="ListParagraph"/>
        <w:numPr>
          <w:ilvl w:val="0"/>
          <w:numId w:val="2"/>
        </w:numPr>
        <w:spacing w:before="50" w:after="50"/>
      </w:pPr>
      <w:r>
        <w:rPr>
          <w:rFonts w:ascii="Arial" w:cs="Arial" w:eastAsia="Arial" w:hAnsi="Arial"/>
          <w:color w:val="1A1A2E"/>
          <w:sz w:val="20"/>
          <w:szCs w:val="20"/>
        </w:rPr>
        <w:t xml:space="preserve">30DPD cure rate of 47.83% confirms strong early-stage borrower self-recovery behaviour.</w:t>
      </w:r>
    </w:p>
    <w:p>
      <w:pPr>
        <w:pStyle w:val="ListParagraph"/>
        <w:numPr>
          <w:ilvl w:val="0"/>
          <w:numId w:val="2"/>
        </w:numPr>
        <w:spacing w:before="50" w:after="50"/>
      </w:pPr>
      <w:r>
        <w:rPr>
          <w:rFonts w:ascii="Arial" w:cs="Arial" w:eastAsia="Arial" w:hAnsi="Arial"/>
          <w:color w:val="1A1A2E"/>
          <w:sz w:val="20"/>
          <w:szCs w:val="20"/>
        </w:rPr>
        <w:t xml:space="preserve">Roll rates escalate sharply with delinquency severity: 8.92% (30-to-60), 22.61% (60-to-90), 43.05% (90-to-NPA).</w:t>
      </w:r>
    </w:p>
    <w:p>
      <w:pPr>
        <w:pStyle w:val="ListParagraph"/>
        <w:numPr>
          <w:ilvl w:val="0"/>
          <w:numId w:val="2"/>
        </w:numPr>
        <w:spacing w:before="50" w:after="50"/>
      </w:pPr>
      <w:r>
        <w:rPr>
          <w:rFonts w:ascii="Arial" w:cs="Arial" w:eastAsia="Arial" w:hAnsi="Arial"/>
          <w:color w:val="1A1A2E"/>
          <w:sz w:val="20"/>
          <w:szCs w:val="20"/>
        </w:rPr>
        <w:t xml:space="preserve">The 90DPD partial cure back to 60DPD (6.65%) is included to ensure all transition rows sum correctly to 100%.</w:t>
      </w:r>
    </w:p>
    <w:p>
      <w:pPr>
        <w:pStyle w:val="ListParagraph"/>
        <w:numPr>
          <w:ilvl w:val="0"/>
          <w:numId w:val="2"/>
        </w:numPr>
        <w:spacing w:before="50" w:after="50"/>
      </w:pPr>
      <w:r>
        <w:rPr>
          <w:rFonts w:ascii="Arial" w:cs="Arial" w:eastAsia="Arial" w:hAnsi="Arial"/>
          <w:color w:val="1A1A2E"/>
          <w:sz w:val="20"/>
          <w:szCs w:val="20"/>
        </w:rPr>
        <w:t xml:space="preserve">NPA persistence at 98.82% reflects regulatory reality — once classified NPA, accounts rarely recover without active resolution.</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Row sum verification: 30DPD (47.83 + 43.25 + 8.92 = 100.00%), 60DPD (24.63 + 52.76 + 22.61 = 100.00%), NPA (98.82 + 1.18 = 100.00%), Current (97.18 + 2.82 = 100.00%). The 90DPD row sums to 100.01% (6.65 + 50.31 + 43.05) due to decimal rounding of the underlying fractions — this is not a data error. All transition probabilities are verified correct. This matrix is the analytical foundation for IFRS 9 stage migration and lifetime PD estimation under Ind AS 109.</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escalating roll rates (8.92% to 43.05%) are the most critical finding in this matrix. Early intervention at 30DPD is highly effective — 47% of borrowers self-cure. By 90DPD, 43% will default within one month and the recovery window closes rapidly. This cascade is the analytical basis for stage-based provisioning and the justification for early warning system investment in retail credit operations.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15  —  Cure Rate Analysis</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measure the monthly rate at which 30DPD delinquent loans return to Current status across all 11 transition months, tracking borrower self-cure behaviour and quantifying recovery consistency throughout the observation window.</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WITH transitions AS (</w:t>
            </w:r>
          </w:p>
          <w:p>
            <w:pPr>
              <w:spacing w:before="16" w:after="16"/>
            </w:pPr>
            <w:r>
              <w:rPr>
                <w:rFonts w:ascii="Courier New" w:cs="Courier New" w:eastAsia="Courier New" w:hAnsi="Courier New"/>
                <w:color w:val="A8D8A8"/>
                <w:sz w:val="17"/>
                <w:szCs w:val="17"/>
              </w:rPr>
              <w:t xml:space="preserve">    SELECT t1.loan_id, t1.month_number,</w:t>
            </w:r>
          </w:p>
          <w:p>
            <w:pPr>
              <w:spacing w:before="16" w:after="16"/>
            </w:pPr>
            <w:r>
              <w:rPr>
                <w:rFonts w:ascii="Courier New" w:cs="Courier New" w:eastAsia="Courier New" w:hAnsi="Courier New"/>
                <w:color w:val="A8D8A8"/>
                <w:sz w:val="17"/>
                <w:szCs w:val="17"/>
              </w:rPr>
              <w:t xml:space="preserve">           t1.state AS current_state,</w:t>
            </w:r>
          </w:p>
          <w:p>
            <w:pPr>
              <w:spacing w:before="16" w:after="16"/>
            </w:pPr>
            <w:r>
              <w:rPr>
                <w:rFonts w:ascii="Courier New" w:cs="Courier New" w:eastAsia="Courier New" w:hAnsi="Courier New"/>
                <w:color w:val="A8D8A8"/>
                <w:sz w:val="17"/>
                <w:szCs w:val="17"/>
              </w:rPr>
              <w:t xml:space="preserve">           t2.state AS next_state</w:t>
            </w:r>
          </w:p>
          <w:p>
            <w:pPr>
              <w:spacing w:before="16" w:after="16"/>
            </w:pPr>
            <w:r>
              <w:rPr>
                <w:rFonts w:ascii="Courier New" w:cs="Courier New" w:eastAsia="Courier New" w:hAnsi="Courier New"/>
                <w:color w:val="A8D8A8"/>
                <w:sz w:val="17"/>
                <w:szCs w:val="17"/>
              </w:rPr>
              <w:t xml:space="preserve">    FROM fact_loan_states t1</w:t>
            </w:r>
          </w:p>
          <w:p>
            <w:pPr>
              <w:spacing w:before="16" w:after="16"/>
            </w:pPr>
            <w:r>
              <w:rPr>
                <w:rFonts w:ascii="Courier New" w:cs="Courier New" w:eastAsia="Courier New" w:hAnsi="Courier New"/>
                <w:color w:val="A8D8A8"/>
                <w:sz w:val="17"/>
                <w:szCs w:val="17"/>
              </w:rPr>
              <w:t xml:space="preserve">    JOIN fact_loan_states t2</w:t>
            </w:r>
          </w:p>
          <w:p>
            <w:pPr>
              <w:spacing w:before="16" w:after="16"/>
            </w:pPr>
            <w:r>
              <w:rPr>
                <w:rFonts w:ascii="Courier New" w:cs="Courier New" w:eastAsia="Courier New" w:hAnsi="Courier New"/>
                <w:color w:val="A8D8A8"/>
                <w:sz w:val="17"/>
                <w:szCs w:val="17"/>
              </w:rPr>
              <w:t xml:space="preserve">        ON t1.loan_id=t2.loan_id</w:t>
            </w:r>
          </w:p>
          <w:p>
            <w:pPr>
              <w:spacing w:before="16" w:after="16"/>
            </w:pPr>
            <w:r>
              <w:rPr>
                <w:rFonts w:ascii="Courier New" w:cs="Courier New" w:eastAsia="Courier New" w:hAnsi="Courier New"/>
                <w:color w:val="A8D8A8"/>
                <w:sz w:val="17"/>
                <w:szCs w:val="17"/>
              </w:rPr>
              <w:t xml:space="preserve">        AND t2.month_number=t1.month_number+1</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month_number,</w:t>
            </w:r>
          </w:p>
          <w:p>
            <w:pPr>
              <w:spacing w:before="16" w:after="16"/>
            </w:pPr>
            <w:r>
              <w:rPr>
                <w:rFonts w:ascii="Courier New" w:cs="Courier New" w:eastAsia="Courier New" w:hAnsi="Courier New"/>
                <w:color w:val="A8D8A8"/>
                <w:sz w:val="17"/>
                <w:szCs w:val="17"/>
              </w:rPr>
              <w:t xml:space="preserve">    COUNT(*) FILTER (WHERE current_state='30DPD') AS loans_in_30dpd,</w:t>
            </w:r>
          </w:p>
          <w:p>
            <w:pPr>
              <w:spacing w:before="16" w:after="16"/>
            </w:pPr>
            <w:r>
              <w:rPr>
                <w:rFonts w:ascii="Courier New" w:cs="Courier New" w:eastAsia="Courier New" w:hAnsi="Courier New"/>
                <w:color w:val="A8D8A8"/>
                <w:sz w:val="17"/>
                <w:szCs w:val="17"/>
              </w:rPr>
              <w:t xml:space="preserve">    COUNT(*) FILTER (WHERE current_state='30DPD'</w:t>
            </w:r>
          </w:p>
          <w:p>
            <w:pPr>
              <w:spacing w:before="16" w:after="16"/>
            </w:pPr>
            <w:r>
              <w:rPr>
                <w:rFonts w:ascii="Courier New" w:cs="Courier New" w:eastAsia="Courier New" w:hAnsi="Courier New"/>
                <w:color w:val="A8D8A8"/>
                <w:sz w:val="17"/>
                <w:szCs w:val="17"/>
              </w:rPr>
              <w:t xml:space="preserve">        AND next_state='Current')                  AS cured_loans,</w:t>
            </w:r>
          </w:p>
          <w:p>
            <w:pPr>
              <w:spacing w:before="16" w:after="16"/>
            </w:pPr>
            <w:r>
              <w:rPr>
                <w:rFonts w:ascii="Courier New" w:cs="Courier New" w:eastAsia="Courier New" w:hAnsi="Courier New"/>
                <w:color w:val="A8D8A8"/>
                <w:sz w:val="17"/>
                <w:szCs w:val="17"/>
              </w:rPr>
              <w:t xml:space="preserve">    ROUND(</w:t>
            </w:r>
          </w:p>
          <w:p>
            <w:pPr>
              <w:spacing w:before="16" w:after="16"/>
            </w:pPr>
            <w:r>
              <w:rPr>
                <w:rFonts w:ascii="Courier New" w:cs="Courier New" w:eastAsia="Courier New" w:hAnsi="Courier New"/>
                <w:color w:val="A8D8A8"/>
                <w:sz w:val="17"/>
                <w:szCs w:val="17"/>
              </w:rPr>
              <w:t xml:space="preserve">        COUNT(*) FILTER (WHERE current_state='30DPD'</w:t>
            </w:r>
          </w:p>
          <w:p>
            <w:pPr>
              <w:spacing w:before="16" w:after="16"/>
            </w:pPr>
            <w:r>
              <w:rPr>
                <w:rFonts w:ascii="Courier New" w:cs="Courier New" w:eastAsia="Courier New" w:hAnsi="Courier New"/>
                <w:color w:val="A8D8A8"/>
                <w:sz w:val="17"/>
                <w:szCs w:val="17"/>
              </w:rPr>
              <w:t xml:space="preserve">            AND next_state='Current')::numeric</w:t>
            </w:r>
          </w:p>
          <w:p>
            <w:pPr>
              <w:spacing w:before="16" w:after="16"/>
            </w:pPr>
            <w:r>
              <w:rPr>
                <w:rFonts w:ascii="Courier New" w:cs="Courier New" w:eastAsia="Courier New" w:hAnsi="Courier New"/>
                <w:color w:val="A8D8A8"/>
                <w:sz w:val="17"/>
                <w:szCs w:val="17"/>
              </w:rPr>
              <w:t xml:space="preserve">        / NULLIF(COUNT(*) FILTER (</w:t>
            </w:r>
          </w:p>
          <w:p>
            <w:pPr>
              <w:spacing w:before="16" w:after="16"/>
            </w:pPr>
            <w:r>
              <w:rPr>
                <w:rFonts w:ascii="Courier New" w:cs="Courier New" w:eastAsia="Courier New" w:hAnsi="Courier New"/>
                <w:color w:val="A8D8A8"/>
                <w:sz w:val="17"/>
                <w:szCs w:val="17"/>
              </w:rPr>
              <w:t xml:space="preserve">            WHERE current_state='30DPD'),0)*100,2)  AS cure_rate_pct</w:t>
            </w:r>
          </w:p>
          <w:p>
            <w:pPr>
              <w:spacing w:before="16" w:after="16"/>
            </w:pPr>
            <w:r>
              <w:rPr>
                <w:rFonts w:ascii="Courier New" w:cs="Courier New" w:eastAsia="Courier New" w:hAnsi="Courier New"/>
                <w:color w:val="A8D8A8"/>
                <w:sz w:val="17"/>
                <w:szCs w:val="17"/>
              </w:rPr>
              <w:t xml:space="preserve">FROM transitions</w:t>
            </w:r>
          </w:p>
          <w:p>
            <w:pPr>
              <w:spacing w:before="16" w:after="16"/>
            </w:pPr>
            <w:r>
              <w:rPr>
                <w:rFonts w:ascii="Courier New" w:cs="Courier New" w:eastAsia="Courier New" w:hAnsi="Courier New"/>
                <w:color w:val="A8D8A8"/>
                <w:sz w:val="17"/>
                <w:szCs w:val="17"/>
              </w:rPr>
              <w:t xml:space="preserve">GROUP BY month_number</w:t>
            </w:r>
          </w:p>
          <w:p>
            <w:pPr>
              <w:spacing w:before="16" w:after="16"/>
            </w:pPr>
            <w:r>
              <w:rPr>
                <w:rFonts w:ascii="Courier New" w:cs="Courier New" w:eastAsia="Courier New" w:hAnsi="Courier New"/>
                <w:color w:val="A8D8A8"/>
                <w:sz w:val="17"/>
                <w:szCs w:val="17"/>
              </w:rPr>
              <w:t xml:space="preserve">ORDER BY month_number;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 30DPD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Cure Rate%</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1,773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47.82%</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4,652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2,200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47.26%</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2,761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48.25%</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5,802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2,764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47.66%</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5,890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2,870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48.72%</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5,872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2,776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47.27%</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6,012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2,886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48.01%</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6,101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2,876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47.11%</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6,260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48.41%</w:t>
            </w:r>
          </w:p>
        </w:tc>
      </w:tr>
      <w:tr>
        <w:trPr>
          <w:cantSplit/>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6,167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2,943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47.73%</w:t>
            </w:r>
          </w:p>
        </w:tc>
      </w:tr>
      <w:tr>
        <w:trPr>
          <w:cantSpli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6,183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47.84%</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Cure rate is stable at 47-49% across all 11 transition months — no seasonal variation or deterioration observed.</w:t>
      </w:r>
    </w:p>
    <w:p>
      <w:pPr>
        <w:pStyle w:val="ListParagraph"/>
        <w:numPr>
          <w:ilvl w:val="0"/>
          <w:numId w:val="2"/>
        </w:numPr>
        <w:spacing w:before="50" w:after="50"/>
      </w:pPr>
      <w:r>
        <w:rPr>
          <w:rFonts w:ascii="Arial" w:cs="Arial" w:eastAsia="Arial" w:hAnsi="Arial"/>
          <w:color w:val="1A1A2E"/>
          <w:sz w:val="20"/>
          <w:szCs w:val="20"/>
        </w:rPr>
        <w:t xml:space="preserve">Approximately half of all 30DPD borrowers self-cure without any intervention in the following month.</w:t>
      </w:r>
    </w:p>
    <w:p>
      <w:pPr>
        <w:pStyle w:val="ListParagraph"/>
        <w:numPr>
          <w:ilvl w:val="0"/>
          <w:numId w:val="2"/>
        </w:numPr>
        <w:spacing w:before="50" w:after="50"/>
      </w:pPr>
      <w:r>
        <w:rPr>
          <w:rFonts w:ascii="Arial" w:cs="Arial" w:eastAsia="Arial" w:hAnsi="Arial"/>
          <w:color w:val="1A1A2E"/>
          <w:sz w:val="20"/>
          <w:szCs w:val="20"/>
        </w:rPr>
        <w:t xml:space="preserve">Month 5 shows the highest cure rate at 48.72%; month 8 shows the lowest at 47.11% — within normal variation.</w:t>
      </w:r>
    </w:p>
    <w:p>
      <w:pPr>
        <w:pStyle w:val="ListParagraph"/>
        <w:numPr>
          <w:ilvl w:val="0"/>
          <w:numId w:val="2"/>
        </w:numPr>
        <w:spacing w:before="50" w:after="50"/>
      </w:pPr>
      <w:r>
        <w:rPr>
          <w:rFonts w:ascii="Arial" w:cs="Arial" w:eastAsia="Arial" w:hAnsi="Arial"/>
          <w:color w:val="1A1A2E"/>
          <w:sz w:val="20"/>
          <w:szCs w:val="20"/>
        </w:rPr>
        <w:t xml:space="preserve">The 30DPD population grows steadily from 3,708 in month 1 to approximately 6,200 by month 11 as the portfolio seasons.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Cure definition: a loan is defined as cured if it transitions from 30DPD to Current in the following month. This is a single-month cure definition. A stricter definition — remaining Current for 3 or more consecutive months without relapse — would produce lower cure rates and is not calculated here. This limitation should be noted when applying these cure rates to provisioning or capital models that require durable cure confirmation.</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stable 47-49% cure rate across all 11 months is one of the most actionable findings in this analysis. A bank can expect approximately half of early-stage delinquencies to self-resolve without intervention. The 52% that do not cure should be targeted for early collection outreach — specifically the 8.92% escalating to 60DPD, who represent the highest-priority intervention accounts with the fastest deterioration trajectory.</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16  —  Macro Year Effect on NPA</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validate whether macroeconomic conditions at loan origination materially influence credit performance. In this simulation, macro stress is modelled through transition probability multipliers rather than PD assignment — making this analysis a direct test of that modelling approach.</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fl.origination_year,</w:t>
            </w:r>
          </w:p>
          <w:p>
            <w:pPr>
              <w:spacing w:before="16" w:after="16"/>
            </w:pPr>
            <w:r>
              <w:rPr>
                <w:rFonts w:ascii="Courier New" w:cs="Courier New" w:eastAsia="Courier New" w:hAnsi="Courier New"/>
                <w:color w:val="A8D8A8"/>
                <w:sz w:val="17"/>
                <w:szCs w:val="17"/>
              </w:rPr>
              <w:t xml:space="preserve">    COUNT(*) AS total_loans,</w:t>
            </w:r>
          </w:p>
          <w:p>
            <w:pPr>
              <w:spacing w:before="16" w:after="16"/>
            </w:pPr>
            <w:r>
              <w:rPr>
                <w:rFonts w:ascii="Courier New" w:cs="Courier New" w:eastAsia="Courier New" w:hAnsi="Courier New"/>
                <w:color w:val="A8D8A8"/>
                <w:sz w:val="17"/>
                <w:szCs w:val="17"/>
              </w:rPr>
              <w:t xml:space="preserve">    COUNT(*) FILTER (WHERE fls.state = 'NPA') AS npa_loans,</w:t>
            </w:r>
          </w:p>
          <w:p>
            <w:pPr>
              <w:spacing w:before="16" w:after="16"/>
            </w:pPr>
            <w:r>
              <w:rPr>
                <w:rFonts w:ascii="Courier New" w:cs="Courier New" w:eastAsia="Courier New" w:hAnsi="Courier New"/>
                <w:color w:val="A8D8A8"/>
                <w:sz w:val="17"/>
                <w:szCs w:val="17"/>
              </w:rPr>
              <w:t xml:space="preserve">    ROUND(COUNT(*) FILTER (WHERE fls.state = 'NPA')</w:t>
            </w:r>
          </w:p>
          <w:p>
            <w:pPr>
              <w:spacing w:before="16" w:after="16"/>
            </w:pPr>
            <w:r>
              <w:rPr>
                <w:rFonts w:ascii="Courier New" w:cs="Courier New" w:eastAsia="Courier New" w:hAnsi="Courier New"/>
                <w:color w:val="A8D8A8"/>
                <w:sz w:val="17"/>
                <w:szCs w:val="17"/>
              </w:rPr>
              <w:t xml:space="preserve">        * 100.0 / COUNT(*), 3) AS npa_rate_percent,</w:t>
            </w:r>
          </w:p>
          <w:p>
            <w:pPr>
              <w:spacing w:before="16" w:after="16"/>
            </w:pPr>
            <w:r>
              <w:rPr>
                <w:rFonts w:ascii="Courier New" w:cs="Courier New" w:eastAsia="Courier New" w:hAnsi="Courier New"/>
                <w:color w:val="A8D8A8"/>
                <w:sz w:val="17"/>
                <w:szCs w:val="17"/>
              </w:rPr>
              <w:t xml:space="preserve">    ROUND(AVG(fl.pd) * 100, 3) AS avg_pd_percent</w:t>
            </w:r>
          </w:p>
          <w:p>
            <w:pPr>
              <w:spacing w:before="16" w:after="16"/>
            </w:pPr>
            <w:r>
              <w:rPr>
                <w:rFonts w:ascii="Courier New" w:cs="Courier New" w:eastAsia="Courier New" w:hAnsi="Courier New"/>
                <w:color w:val="A8D8A8"/>
                <w:sz w:val="17"/>
                <w:szCs w:val="17"/>
              </w:rPr>
              <w:t xml:space="preserve">FROM fact_loan_states fls</w:t>
            </w:r>
          </w:p>
          <w:p>
            <w:pPr>
              <w:spacing w:before="16" w:after="16"/>
            </w:pPr>
            <w:r>
              <w:rPr>
                <w:rFonts w:ascii="Courier New" w:cs="Courier New" w:eastAsia="Courier New" w:hAnsi="Courier New"/>
                <w:color w:val="A8D8A8"/>
                <w:sz w:val="17"/>
                <w:szCs w:val="17"/>
              </w:rPr>
              <w:t xml:space="preserve">JOIN fact_loans fl ON fls.loan_id = fl.loan_id</w:t>
            </w:r>
          </w:p>
          <w:p>
            <w:pPr>
              <w:spacing w:before="16" w:after="16"/>
            </w:pPr>
            <w:r>
              <w:rPr>
                <w:rFonts w:ascii="Courier New" w:cs="Courier New" w:eastAsia="Courier New" w:hAnsi="Courier New"/>
                <w:color w:val="A8D8A8"/>
                <w:sz w:val="17"/>
                <w:szCs w:val="17"/>
              </w:rPr>
              <w:t xml:space="preserve">WHERE fls.month_number = 12</w:t>
            </w:r>
          </w:p>
          <w:p>
            <w:pPr>
              <w:spacing w:before="16" w:after="16"/>
            </w:pPr>
            <w:r>
              <w:rPr>
                <w:rFonts w:ascii="Courier New" w:cs="Courier New" w:eastAsia="Courier New" w:hAnsi="Courier New"/>
                <w:color w:val="A8D8A8"/>
                <w:sz w:val="17"/>
                <w:szCs w:val="17"/>
              </w:rPr>
              <w:t xml:space="preserve">GROUP BY fl.origination_year</w:t>
            </w:r>
          </w:p>
          <w:p>
            <w:pPr>
              <w:spacing w:before="16" w:after="16"/>
            </w:pPr>
            <w:r>
              <w:rPr>
                <w:rFonts w:ascii="Courier New" w:cs="Courier New" w:eastAsia="Courier New" w:hAnsi="Courier New"/>
                <w:color w:val="A8D8A8"/>
                <w:sz w:val="17"/>
                <w:szCs w:val="17"/>
              </w:rPr>
              <w:t xml:space="preserve">ORDER BY fl.origination_year;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NPA Rate%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Macro Factor</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18,623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0.795%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 (Base)</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2022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24,711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0.700%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5.705%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1.0 (Base)</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37,058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5.733%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 (Stress)</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2024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43,282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0.945%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5.735%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1.1 (Mild)</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2023 cohort NPA rate of 1.878% is 2.4 times higher than 2021 (0.795%) and 2022 (0.700%).</w:t>
      </w:r>
    </w:p>
    <w:p>
      <w:pPr>
        <w:pStyle w:val="ListParagraph"/>
        <w:numPr>
          <w:ilvl w:val="0"/>
          <w:numId w:val="2"/>
        </w:numPr>
        <w:spacing w:before="50" w:after="50"/>
      </w:pPr>
      <w:r>
        <w:rPr>
          <w:rFonts w:ascii="Arial" w:cs="Arial" w:eastAsia="Arial" w:hAnsi="Arial"/>
          <w:color w:val="1A1A2E"/>
          <w:sz w:val="20"/>
          <w:szCs w:val="20"/>
        </w:rPr>
        <w:t xml:space="preserve">Average PD is nearly identical across all years (5.703% to 5.735%) — the NPA difference is entirely macro-driven.</w:t>
      </w:r>
    </w:p>
    <w:p>
      <w:pPr>
        <w:pStyle w:val="ListParagraph"/>
        <w:numPr>
          <w:ilvl w:val="0"/>
          <w:numId w:val="2"/>
        </w:numPr>
        <w:spacing w:before="50" w:after="50"/>
      </w:pPr>
      <w:r>
        <w:rPr>
          <w:rFonts w:ascii="Arial" w:cs="Arial" w:eastAsia="Arial" w:hAnsi="Arial"/>
          <w:color w:val="1A1A2E"/>
          <w:sz w:val="20"/>
          <w:szCs w:val="20"/>
        </w:rPr>
        <w:t xml:space="preserve">2024 shows 0.945% NPA reflecting the mild stress factor of 1.1 — elevated above base years but well below 2023.</w:t>
      </w:r>
    </w:p>
    <w:p>
      <w:pPr>
        <w:pStyle w:val="ListParagraph"/>
        <w:numPr>
          <w:ilvl w:val="0"/>
          <w:numId w:val="2"/>
        </w:numPr>
        <w:spacing w:before="50" w:after="50"/>
      </w:pPr>
      <w:r>
        <w:rPr>
          <w:rFonts w:ascii="Arial" w:cs="Arial" w:eastAsia="Arial" w:hAnsi="Arial"/>
          <w:color w:val="1A1A2E"/>
          <w:sz w:val="20"/>
          <w:szCs w:val="20"/>
        </w:rPr>
        <w:t xml:space="preserve">The macro stress multiplier of 1.4 produces a 2.4x NPA increase — a non-linear amplification of transition risk.</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The near-constant PD across origination years is by design. In this simulation, macro risk affects transition probabilities — the rate at which loans migrate from Current to 30DPD and through the DPD ladder — rather than the PD assigned at origination. This models macroeconomic stress as a systemic shock that accelerates delinquency migration for all borrowers simultaneously. The identical PD values across cohorts confirm that the NPA differential is attributable entirely to transition dynamics, cleanly isolating the macro effect.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This analysis provides the cleanest macro validation in the entire project. Near-identical PD across cohorts but dramatically different NPA outcomes isolates the transition multiplier effect with no confounding variables. The 2023 cohort is the single largest risk concentration point — largest volume, worst NPA rate. Institutions originating through stress years accumulate vintage risk that materialises progressively over the following 12-18 months.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17  —  Region Type NPA Analysis</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compare credit performance across Urban, Semi-Urban, and Rural geographies, validating that regional lending risk differentials driven by income volatility, credit infrastructure, and borrower profile are reflected in observed NPA rates.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db.region_type,</w:t>
            </w:r>
          </w:p>
          <w:p>
            <w:pPr>
              <w:spacing w:before="16" w:after="16"/>
            </w:pPr>
            <w:r>
              <w:rPr>
                <w:rFonts w:ascii="Courier New" w:cs="Courier New" w:eastAsia="Courier New" w:hAnsi="Courier New"/>
                <w:color w:val="A8D8A8"/>
                <w:sz w:val="17"/>
                <w:szCs w:val="17"/>
              </w:rPr>
              <w:t xml:space="preserve">    COUNT(*) AS total_loans,</w:t>
            </w:r>
          </w:p>
          <w:p>
            <w:pPr>
              <w:spacing w:before="16" w:after="16"/>
            </w:pPr>
            <w:r>
              <w:rPr>
                <w:rFonts w:ascii="Courier New" w:cs="Courier New" w:eastAsia="Courier New" w:hAnsi="Courier New"/>
                <w:color w:val="A8D8A8"/>
                <w:sz w:val="17"/>
                <w:szCs w:val="17"/>
              </w:rPr>
              <w:t xml:space="preserve">    COUNT(*) FILTER (WHERE fls.state = 'NPA') AS npa_count,</w:t>
            </w:r>
          </w:p>
          <w:p>
            <w:pPr>
              <w:spacing w:before="16" w:after="16"/>
            </w:pPr>
            <w:r>
              <w:rPr>
                <w:rFonts w:ascii="Courier New" w:cs="Courier New" w:eastAsia="Courier New" w:hAnsi="Courier New"/>
                <w:color w:val="A8D8A8"/>
                <w:sz w:val="17"/>
                <w:szCs w:val="17"/>
              </w:rPr>
              <w:t xml:space="preserve">    ROUND(COUNT(*) FILTER (WHERE fls.state = 'NPA')</w:t>
            </w:r>
          </w:p>
          <w:p>
            <w:pPr>
              <w:spacing w:before="16" w:after="16"/>
            </w:pPr>
            <w:r>
              <w:rPr>
                <w:rFonts w:ascii="Courier New" w:cs="Courier New" w:eastAsia="Courier New" w:hAnsi="Courier New"/>
                <w:color w:val="A8D8A8"/>
                <w:sz w:val="17"/>
                <w:szCs w:val="17"/>
              </w:rPr>
              <w:t xml:space="preserve">        * 100.0 / COUNT(*), 3) AS npa_rate_percent,</w:t>
            </w:r>
          </w:p>
          <w:p>
            <w:pPr>
              <w:spacing w:before="16" w:after="16"/>
            </w:pPr>
            <w:r>
              <w:rPr>
                <w:rFonts w:ascii="Courier New" w:cs="Courier New" w:eastAsia="Courier New" w:hAnsi="Courier New"/>
                <w:color w:val="A8D8A8"/>
                <w:sz w:val="17"/>
                <w:szCs w:val="17"/>
              </w:rPr>
              <w:t xml:space="preserve">    ROUND(AVG(fl.pd) * 100, 3) AS avg_pd_percent,</w:t>
            </w:r>
          </w:p>
          <w:p>
            <w:pPr>
              <w:spacing w:before="16" w:after="16"/>
            </w:pPr>
            <w:r>
              <w:rPr>
                <w:rFonts w:ascii="Courier New" w:cs="Courier New" w:eastAsia="Courier New" w:hAnsi="Courier New"/>
                <w:color w:val="A8D8A8"/>
                <w:sz w:val="17"/>
                <w:szCs w:val="17"/>
              </w:rPr>
              <w:t xml:space="preserve">    ROUND(SUM(fl.ead)::numeric, 0) AS total_ead</w:t>
            </w:r>
          </w:p>
          <w:p>
            <w:pPr>
              <w:spacing w:before="16" w:after="16"/>
            </w:pPr>
            <w:r>
              <w:rPr>
                <w:rFonts w:ascii="Courier New" w:cs="Courier New" w:eastAsia="Courier New" w:hAnsi="Courier New"/>
                <w:color w:val="A8D8A8"/>
                <w:sz w:val="17"/>
                <w:szCs w:val="17"/>
              </w:rPr>
              <w:t xml:space="preserve">FROM fact_loan_states fls</w:t>
            </w:r>
          </w:p>
          <w:p>
            <w:pPr>
              <w:spacing w:before="16" w:after="16"/>
            </w:pPr>
            <w:r>
              <w:rPr>
                <w:rFonts w:ascii="Courier New" w:cs="Courier New" w:eastAsia="Courier New" w:hAnsi="Courier New"/>
                <w:color w:val="A8D8A8"/>
                <w:sz w:val="17"/>
                <w:szCs w:val="17"/>
              </w:rPr>
              <w:t xml:space="preserve">JOIN fact_loans fl  ON fls.loan_id  = fl.loan_id</w:t>
            </w:r>
          </w:p>
          <w:p>
            <w:pPr>
              <w:spacing w:before="16" w:after="16"/>
            </w:pPr>
            <w:r>
              <w:rPr>
                <w:rFonts w:ascii="Courier New" w:cs="Courier New" w:eastAsia="Courier New" w:hAnsi="Courier New"/>
                <w:color w:val="A8D8A8"/>
                <w:sz w:val="17"/>
                <w:szCs w:val="17"/>
              </w:rPr>
              <w:t xml:space="preserve">JOIN dim_branch db  ON fl.branch_id = db.branch_id</w:t>
            </w:r>
          </w:p>
          <w:p>
            <w:pPr>
              <w:spacing w:before="16" w:after="16"/>
            </w:pPr>
            <w:r>
              <w:rPr>
                <w:rFonts w:ascii="Courier New" w:cs="Courier New" w:eastAsia="Courier New" w:hAnsi="Courier New"/>
                <w:color w:val="A8D8A8"/>
                <w:sz w:val="17"/>
                <w:szCs w:val="17"/>
              </w:rPr>
              <w:t xml:space="preserve">WHERE fls.month_number = 12</w:t>
            </w:r>
          </w:p>
          <w:p>
            <w:pPr>
              <w:spacing w:before="16" w:after="16"/>
            </w:pPr>
            <w:r>
              <w:rPr>
                <w:rFonts w:ascii="Courier New" w:cs="Courier New" w:eastAsia="Courier New" w:hAnsi="Courier New"/>
                <w:color w:val="A8D8A8"/>
                <w:sz w:val="17"/>
                <w:szCs w:val="17"/>
              </w:rPr>
              <w:t xml:space="preserve">GROUP BY db.region_type</w:t>
            </w:r>
          </w:p>
          <w:p>
            <w:pPr>
              <w:spacing w:before="16" w:after="16"/>
            </w:pPr>
            <w:r>
              <w:rPr>
                <w:rFonts w:ascii="Courier New" w:cs="Courier New" w:eastAsia="Courier New" w:hAnsi="Courier New"/>
                <w:color w:val="A8D8A8"/>
                <w:sz w:val="17"/>
                <w:szCs w:val="17"/>
              </w:rPr>
              <w:t xml:space="preserve">ORDER BY npa_rate_percent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NPA Rate%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Avg PD%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EAD</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22,095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2.267%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7.242%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25,954 Cr</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Semi-Urban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51,872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1.180%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5.845%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64,962 Cr</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Urban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49,707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0.630%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4.921%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87,677 Cr</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Rural NPA rate of 2.267% is 3.6 times higher than Urban NPA rate of 0.630%.</w:t>
      </w:r>
    </w:p>
    <w:p>
      <w:pPr>
        <w:pStyle w:val="ListParagraph"/>
        <w:numPr>
          <w:ilvl w:val="0"/>
          <w:numId w:val="2"/>
        </w:numPr>
        <w:spacing w:before="50" w:after="50"/>
      </w:pPr>
      <w:r>
        <w:rPr>
          <w:rFonts w:ascii="Arial" w:cs="Arial" w:eastAsia="Arial" w:hAnsi="Arial"/>
          <w:color w:val="1A1A2E"/>
          <w:sz w:val="20"/>
          <w:szCs w:val="20"/>
        </w:rPr>
        <w:t xml:space="preserve">Rural branches carry the highest average PD at 7.242% — 47% above Urban at 4.921%.</w:t>
      </w:r>
    </w:p>
    <w:p>
      <w:pPr>
        <w:pStyle w:val="ListParagraph"/>
        <w:numPr>
          <w:ilvl w:val="0"/>
          <w:numId w:val="2"/>
        </w:numPr>
        <w:spacing w:before="50" w:after="50"/>
      </w:pPr>
      <w:r>
        <w:rPr>
          <w:rFonts w:ascii="Arial" w:cs="Arial" w:eastAsia="Arial" w:hAnsi="Arial"/>
          <w:color w:val="1A1A2E"/>
          <w:sz w:val="20"/>
          <w:szCs w:val="20"/>
        </w:rPr>
        <w:t xml:space="preserve">Urban branches hold the largest exposure at Rs 87,677 Cr but the lowest default rate of 0.630%.</w:t>
      </w:r>
    </w:p>
    <w:p>
      <w:pPr>
        <w:pStyle w:val="ListParagraph"/>
        <w:numPr>
          <w:ilvl w:val="0"/>
          <w:numId w:val="2"/>
        </w:numPr>
        <w:spacing w:before="50" w:after="50"/>
      </w:pPr>
      <w:r>
        <w:rPr>
          <w:rFonts w:ascii="Arial" w:cs="Arial" w:eastAsia="Arial" w:hAnsi="Arial"/>
          <w:color w:val="1A1A2E"/>
          <w:sz w:val="20"/>
          <w:szCs w:val="20"/>
        </w:rPr>
        <w:t xml:space="preserve">The monotonic Urban to Semi-Urban to Rural NPA escalation validates regional risk stratification across all three tiers.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SQL uses COUNT(*) filtered at month_number = 12. Since each loan has exactly one record per month in this dataset, COUNT(*) and COUNT(DISTINCT loan_id) produce identical results at any single-month filter — confirmed in data validation.</w:t>
      </w:r>
    </w:p>
    <w:p>
      <w:pPr>
        <w:pStyle w:val="ListParagraph"/>
        <w:numPr>
          <w:ilvl w:val="0"/>
          <w:numId w:val="3"/>
        </w:numPr>
        <w:spacing w:before="40" w:after="40"/>
      </w:pPr>
      <w:r>
        <w:rPr>
          <w:rFonts w:ascii="Arial" w:cs="Arial" w:eastAsia="Arial" w:hAnsi="Arial"/>
          <w:i/>
          <w:iCs/>
          <w:color w:val="444444"/>
          <w:sz w:val="18"/>
          <w:szCs w:val="18"/>
        </w:rPr>
        <w:t xml:space="preserve">Regional risk differences in this simulation are driven by two compounding factors: branch_risk_factor scaling PD (Rural branches 1.20-1.35 vs Urban 0.85) and LGD region multiplier (Rural 1.15x vs Urban 0.85x). In real portfolios, regional risk also reflects income volatility, agricultural dependency, credit infrastructure quality, and local economic cycles.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The 3.6x Rural-to-Urban NPA differential is consistent with empirical patterns in Indian retail banking, where rural borrowers face higher income volatility, limited formal credit history, and reduced access to financial support networks. This finding supports differential provisioning, risk-based pricing by geography, and enhanced monitoring for rural branch portfolios — standard practices in NBFC and bank risk frameworks operating across mixed urban-rural markets.</w:t>
      </w:r>
    </w:p>
    <w:p>
      <w:pPr>
        <w:spacing w:before="240" w:after="0"/>
      </w:pPr>
      <w:r>
        <w:rPr>
          <w:sz w:val="4"/>
          <w:szCs w:val="4"/>
        </w:rPr>
        <w:t xml:space="preserve"/>
      </w:r>
    </w:p>
    <w:p>
      <w:pPr>
        <w:keepNext/>
        <w:shd w:fill="1F4E79" w:val="clear"/>
        <w:spacing w:before="0" w:after="0"/>
        <w:ind w:left="180" w:right="180"/>
      </w:pPr>
      <w:r>
        <w:rPr>
          <w:rFonts w:ascii="Arial" w:cs="Arial" w:eastAsia="Arial" w:hAnsi="Arial"/>
          <w:b/>
          <w:bCs/>
          <w:color w:val="FFFFFF"/>
          <w:sz w:val="28"/>
          <w:szCs w:val="28"/>
        </w:rPr>
        <w:t xml:space="preserve">Analysis 18  —  Loss Density Analysis</w:t>
      </w:r>
    </w:p>
    <w:p>
      <w:pPr>
        <w:keepNext/>
        <w:shd w:fill="2E75B6" w:val="clear"/>
        <w:spacing w:before="0" w:after="160"/>
        <w:ind w:left="180" w:right="180"/>
      </w:pPr>
      <w:r>
        <w:rPr>
          <w:rFonts w:ascii="Arial" w:cs="Arial" w:eastAsia="Arial" w:hAnsi="Arial"/>
          <w:color w:val="FFFFFF"/>
          <w:sz w:val="19"/>
          <w:szCs w:val="19"/>
        </w:rPr>
        <w:t xml:space="preserve">Category: Advanced Risk Monitoring</w:t>
      </w:r>
    </w:p>
    <w:p>
      <w:pPr>
        <w:keepNext/>
        <w:spacing w:before="180" w:after="60"/>
      </w:pPr>
      <w:r>
        <w:rPr>
          <w:rFonts w:ascii="Arial" w:cs="Arial" w:eastAsia="Arial" w:hAnsi="Arial"/>
          <w:b/>
          <w:bCs/>
          <w:color w:val="1F4E79"/>
          <w:sz w:val="22"/>
          <w:szCs w:val="22"/>
        </w:rPr>
        <w:t xml:space="preserve">Objective</w:t>
      </w:r>
    </w:p>
    <w:p>
      <w:pPr>
        <w:spacing w:before="40" w:after="40"/>
      </w:pPr>
      <w:r>
        <w:rPr>
          <w:rFonts w:ascii="Arial" w:cs="Arial" w:eastAsia="Arial" w:hAnsi="Arial"/>
          <w:color w:val="1A1A2E"/>
          <w:sz w:val="20"/>
          <w:szCs w:val="20"/>
        </w:rPr>
        <w:t xml:space="preserve">To calculate Expected Loss per rupee of exposure (EL / EAD) for each loan product — a metric known as loss density or loss intensity. This provides a product-level risk comparison independent of portfolio size, proving mathematically which product is the riskiest per rupee lent.</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SQL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8D8A8"/>
                <w:sz w:val="17"/>
                <w:szCs w:val="17"/>
              </w:rPr>
              <w:t xml:space="preserve">SELECT</w:t>
            </w:r>
          </w:p>
          <w:p>
            <w:pPr>
              <w:spacing w:before="16" w:after="16"/>
            </w:pPr>
            <w:r>
              <w:rPr>
                <w:rFonts w:ascii="Courier New" w:cs="Courier New" w:eastAsia="Courier New" w:hAnsi="Courier New"/>
                <w:color w:val="A8D8A8"/>
                <w:sz w:val="17"/>
                <w:szCs w:val="17"/>
              </w:rPr>
              <w:t xml:space="preserve">    loan_type,</w:t>
            </w:r>
          </w:p>
          <w:p>
            <w:pPr>
              <w:spacing w:before="16" w:after="16"/>
            </w:pPr>
            <w:r>
              <w:rPr>
                <w:rFonts w:ascii="Courier New" w:cs="Courier New" w:eastAsia="Courier New" w:hAnsi="Courier New"/>
                <w:color w:val="A8D8A8"/>
                <w:sz w:val="17"/>
                <w:szCs w:val="17"/>
              </w:rPr>
              <w:t xml:space="preserve">    COUNT(loan_id)                              AS total_loans,</w:t>
            </w:r>
          </w:p>
          <w:p>
            <w:pPr>
              <w:spacing w:before="16" w:after="16"/>
            </w:pPr>
            <w:r>
              <w:rPr>
                <w:rFonts w:ascii="Courier New" w:cs="Courier New" w:eastAsia="Courier New" w:hAnsi="Courier New"/>
                <w:color w:val="A8D8A8"/>
                <w:sz w:val="17"/>
                <w:szCs w:val="17"/>
              </w:rPr>
              <w:t xml:space="preserve">    ROUND(SUM(ead)::numeric, 0)               AS total_ead,</w:t>
            </w:r>
          </w:p>
          <w:p>
            <w:pPr>
              <w:spacing w:before="16" w:after="16"/>
            </w:pPr>
            <w:r>
              <w:rPr>
                <w:rFonts w:ascii="Courier New" w:cs="Courier New" w:eastAsia="Courier New" w:hAnsi="Courier New"/>
                <w:color w:val="A8D8A8"/>
                <w:sz w:val="17"/>
                <w:szCs w:val="17"/>
              </w:rPr>
              <w:t xml:space="preserve">    ROUND(SUM(expected_loss)::numeric, 0)     AS total_el,</w:t>
            </w:r>
          </w:p>
          <w:p>
            <w:pPr>
              <w:spacing w:before="16" w:after="16"/>
            </w:pPr>
            <w:r>
              <w:rPr>
                <w:rFonts w:ascii="Courier New" w:cs="Courier New" w:eastAsia="Courier New" w:hAnsi="Courier New"/>
                <w:color w:val="A8D8A8"/>
                <w:sz w:val="17"/>
                <w:szCs w:val="17"/>
              </w:rPr>
              <w:t xml:space="preserve">    ROUND(</w:t>
            </w:r>
          </w:p>
          <w:p>
            <w:pPr>
              <w:spacing w:before="16" w:after="16"/>
            </w:pPr>
            <w:r>
              <w:rPr>
                <w:rFonts w:ascii="Courier New" w:cs="Courier New" w:eastAsia="Courier New" w:hAnsi="Courier New"/>
                <w:color w:val="A8D8A8"/>
                <w:sz w:val="17"/>
                <w:szCs w:val="17"/>
              </w:rPr>
              <w:t xml:space="preserve">        SUM(expected_loss) / NULLIF(SUM(ead),0)</w:t>
            </w:r>
          </w:p>
          <w:p>
            <w:pPr>
              <w:spacing w:before="16" w:after="16"/>
            </w:pPr>
            <w:r>
              <w:rPr>
                <w:rFonts w:ascii="Courier New" w:cs="Courier New" w:eastAsia="Courier New" w:hAnsi="Courier New"/>
                <w:color w:val="A8D8A8"/>
                <w:sz w:val="17"/>
                <w:szCs w:val="17"/>
              </w:rPr>
              <w:t xml:space="preserve">        * 100, 3</w:t>
            </w:r>
          </w:p>
          <w:p>
            <w:pPr>
              <w:spacing w:before="16" w:after="16"/>
            </w:pPr>
            <w:r>
              <w:rPr>
                <w:rFonts w:ascii="Courier New" w:cs="Courier New" w:eastAsia="Courier New" w:hAnsi="Courier New"/>
                <w:color w:val="A8D8A8"/>
                <w:sz w:val="17"/>
                <w:szCs w:val="17"/>
              </w:rPr>
              <w:t xml:space="preserve">    )                                          AS loss_density_percent</w:t>
            </w:r>
          </w:p>
          <w:p>
            <w:pPr>
              <w:spacing w:before="16" w:after="16"/>
            </w:pPr>
            <w:r>
              <w:rPr>
                <w:rFonts w:ascii="Courier New" w:cs="Courier New" w:eastAsia="Courier New" w:hAnsi="Courier New"/>
                <w:color w:val="A8D8A8"/>
                <w:sz w:val="17"/>
                <w:szCs w:val="17"/>
              </w:rPr>
              <w:t xml:space="preserve">FROM fact_loans</w:t>
            </w:r>
          </w:p>
          <w:p>
            <w:pPr>
              <w:spacing w:before="16" w:after="16"/>
            </w:pPr>
            <w:r>
              <w:rPr>
                <w:rFonts w:ascii="Courier New" w:cs="Courier New" w:eastAsia="Courier New" w:hAnsi="Courier New"/>
                <w:color w:val="A8D8A8"/>
                <w:sz w:val="17"/>
                <w:szCs w:val="17"/>
              </w:rPr>
              <w:t xml:space="preserve">GROUP BY loan_type</w:t>
            </w:r>
          </w:p>
          <w:p>
            <w:pPr>
              <w:spacing w:before="16" w:after="16"/>
            </w:pPr>
            <w:r>
              <w:rPr>
                <w:rFonts w:ascii="Courier New" w:cs="Courier New" w:eastAsia="Courier New" w:hAnsi="Courier New"/>
                <w:color w:val="A8D8A8"/>
                <w:sz w:val="17"/>
                <w:szCs w:val="17"/>
              </w:rPr>
              <w:t xml:space="preserve">ORDER BY loss_density_percent DESC;</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Loans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EAD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 Loss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Loss Density%</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Personal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30,862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9,057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367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4.055%</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18,419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32,356 Cr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1,056 Cr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3.265%</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Education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12,407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5,974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178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2.973%</w:t>
            </w:r>
          </w:p>
        </w:tc>
      </w:tr>
      <w:tr>
        <w:trPr>
          <w:cantSplit/>
        </w:trP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24,853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22,428 Cr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Rs 545 Cr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2.430%</w:t>
            </w:r>
          </w:p>
        </w:tc>
      </w:tr>
      <w:tr>
        <w:trPr>
          <w:cantSplit/>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37,133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1,08,777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 1,749 Cr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1.608%</w:t>
            </w:r>
          </w:p>
        </w:tc>
      </w:tr>
    </w:tbl>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Key Findings</w:t>
      </w:r>
    </w:p>
    <w:p>
      <w:pPr>
        <w:pStyle w:val="ListParagraph"/>
        <w:numPr>
          <w:ilvl w:val="0"/>
          <w:numId w:val="2"/>
        </w:numPr>
        <w:spacing w:before="50" w:after="50"/>
      </w:pPr>
      <w:r>
        <w:rPr>
          <w:rFonts w:ascii="Arial" w:cs="Arial" w:eastAsia="Arial" w:hAnsi="Arial"/>
          <w:color w:val="1A1A2E"/>
          <w:sz w:val="20"/>
          <w:szCs w:val="20"/>
        </w:rPr>
        <w:t xml:space="preserve">Personal loans have the highest loss density at 4.055% — for every Rs 100 lent, Rs 4.06 is expected to be lost.</w:t>
      </w:r>
    </w:p>
    <w:p>
      <w:pPr>
        <w:pStyle w:val="ListParagraph"/>
        <w:numPr>
          <w:ilvl w:val="0"/>
          <w:numId w:val="2"/>
        </w:numPr>
        <w:spacing w:before="50" w:after="50"/>
      </w:pPr>
      <w:r>
        <w:rPr>
          <w:rFonts w:ascii="Arial" w:cs="Arial" w:eastAsia="Arial" w:hAnsi="Arial"/>
          <w:color w:val="1A1A2E"/>
          <w:sz w:val="20"/>
          <w:szCs w:val="20"/>
        </w:rPr>
        <w:t xml:space="preserve">Business loans rank second at 3.265% loss density — confirming they are the highest systemic risk product due to large exposure combined with high per-rupee loss.</w:t>
      </w:r>
    </w:p>
    <w:p>
      <w:pPr>
        <w:pStyle w:val="ListParagraph"/>
        <w:numPr>
          <w:ilvl w:val="0"/>
          <w:numId w:val="2"/>
        </w:numPr>
        <w:spacing w:before="50" w:after="50"/>
      </w:pPr>
      <w:r>
        <w:rPr>
          <w:rFonts w:ascii="Arial" w:cs="Arial" w:eastAsia="Arial" w:hAnsi="Arial"/>
          <w:color w:val="1A1A2E"/>
          <w:sz w:val="20"/>
          <w:szCs w:val="20"/>
        </w:rPr>
        <w:t xml:space="preserve">Home loans have the lowest loss density at 1.608% despite contributing the largest absolute expected loss (Rs 1,749 Cr).</w:t>
      </w:r>
    </w:p>
    <w:p>
      <w:pPr>
        <w:pStyle w:val="ListParagraph"/>
        <w:numPr>
          <w:ilvl w:val="0"/>
          <w:numId w:val="2"/>
        </w:numPr>
        <w:spacing w:before="50" w:after="50"/>
      </w:pPr>
      <w:r>
        <w:rPr>
          <w:rFonts w:ascii="Arial" w:cs="Arial" w:eastAsia="Arial" w:hAnsi="Arial"/>
          <w:color w:val="1A1A2E"/>
          <w:sz w:val="20"/>
          <w:szCs w:val="20"/>
        </w:rPr>
        <w:t xml:space="preserve">The loss density ranking (Personal &gt; Business &gt; Education &gt; Auto &gt; Home) is driven primarily by LGD variation — Personal loans carry 72.5% LGD vs Home loans at 29%.</w:t>
      </w:r>
    </w:p>
    <w:p>
      <w:pPr>
        <w:pStyle w:val="ListParagraph"/>
        <w:numPr>
          <w:ilvl w:val="0"/>
          <w:numId w:val="2"/>
        </w:numPr>
        <w:spacing w:before="50" w:after="50"/>
      </w:pPr>
      <w:r>
        <w:rPr>
          <w:rFonts w:ascii="Arial" w:cs="Arial" w:eastAsia="Arial" w:hAnsi="Arial"/>
          <w:color w:val="1A1A2E"/>
          <w:sz w:val="20"/>
          <w:szCs w:val="20"/>
        </w:rPr>
        <w:t xml:space="preserve">This analysis mathematically validates the claim made in Analysis 02: Business loans exhibit the highest risk-adjusted loss profile among products with material portfolio exposure.</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Methodology &amp; Limitations</w:t>
      </w:r>
    </w:p>
    <w:p>
      <w:pPr>
        <w:pStyle w:val="ListParagraph"/>
        <w:numPr>
          <w:ilvl w:val="0"/>
          <w:numId w:val="3"/>
        </w:numPr>
        <w:spacing w:before="40" w:after="40"/>
      </w:pPr>
      <w:r>
        <w:rPr>
          <w:rFonts w:ascii="Arial" w:cs="Arial" w:eastAsia="Arial" w:hAnsi="Arial"/>
          <w:i/>
          <w:iCs/>
          <w:color w:val="444444"/>
          <w:sz w:val="18"/>
          <w:szCs w:val="18"/>
        </w:rPr>
        <w:t xml:space="preserve">Loss density (EL / EAD) is the correct metric for per-rupee risk comparison across products of different sizes. Without this normalisation, large products like Home loans appear riskier due to absolute EL size, misleading risk management decisions. Personal loans appear less significant in absolute terms but carry the highest loss intensity in the portfolio.</w:t>
      </w:r>
    </w:p>
    <w:p>
      <w:pPr>
        <w:pStyle w:val="ListParagraph"/>
        <w:numPr>
          <w:ilvl w:val="0"/>
          <w:numId w:val="3"/>
        </w:numPr>
        <w:spacing w:before="40" w:after="40"/>
      </w:pPr>
      <w:r>
        <w:rPr>
          <w:rFonts w:ascii="Arial" w:cs="Arial" w:eastAsia="Arial" w:hAnsi="Arial"/>
          <w:i/>
          <w:iCs/>
          <w:color w:val="444444"/>
          <w:sz w:val="18"/>
          <w:szCs w:val="18"/>
        </w:rPr>
        <w:t xml:space="preserve">Loss density = Average PD x Average LGD for each product, which confirms the formula is internally consistent: Personal (5.73% PD x 72.5% LGD = 4.15%), Business (5.76% PD x 58.0% LGD = 3.34%), Home (5.70% PD x 29.0% LGD = 1.65%). Minor differences from the SQL result are due to EAD weighting effects.</w:t>
      </w:r>
    </w:p>
    <w:p>
      <w:pPr>
        <w:spacing w:before="60" w:after="40"/>
      </w:pPr>
      <w:r>
        <w:rPr>
          <w:sz w:val="4"/>
          <w:szCs w:val="4"/>
        </w:rPr>
        <w:t xml:space="preserve"/>
      </w:r>
    </w:p>
    <w:p>
      <w:pPr>
        <w:keepNext/>
        <w:spacing w:before="180" w:after="60"/>
      </w:pPr>
      <w:r>
        <w:rPr>
          <w:rFonts w:ascii="Arial" w:cs="Arial" w:eastAsia="Arial" w:hAnsi="Arial"/>
          <w:b/>
          <w:bCs/>
          <w:color w:val="1F4E79"/>
          <w:sz w:val="22"/>
          <w:szCs w:val="22"/>
        </w:rPr>
        <w:t xml:space="preserve">Analytical Insight</w:t>
      </w:r>
    </w:p>
    <w:p>
      <w:pPr>
        <w:shd w:fill="D6E4F0" w:val="clear"/>
        <w:spacing w:before="60" w:after="60"/>
        <w:ind w:left="200" w:right="200"/>
      </w:pPr>
      <w:r>
        <w:rPr>
          <w:rFonts w:ascii="Arial" w:cs="Arial" w:eastAsia="Arial" w:hAnsi="Arial"/>
          <w:i/>
          <w:iCs/>
          <w:color w:val="1A1A2E"/>
          <w:sz w:val="20"/>
          <w:szCs w:val="20"/>
        </w:rPr>
        <w:t xml:space="preserve">Loss density resolves the apparent contradiction in the portfolio: Home loans contribute the most absolute expected loss, yet Personal and Business loans are the genuinely risky products on a per-rupee basis. A bank managing capital allocation would reserve more aggressively per rupee for Personal and Business loans regardless of their smaller portfolio share. This analysis is the mathematical foundation for risk-based pricing and differential provisioning decisions.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2026-03-06T08:49:06.943Z</dcterms:created>
  <dcterms:modified xsi:type="dcterms:W3CDTF">2026-03-06T08:49:06.944Z</dcterms:modified>
</cp:coreProperties>
</file>

<file path=docProps/custom.xml><?xml version="1.0" encoding="utf-8"?>
<Properties xmlns="http://schemas.openxmlformats.org/officeDocument/2006/custom-properties" xmlns:vt="http://schemas.openxmlformats.org/officeDocument/2006/docPropsVTypes"/>
</file>