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&amp; Statistical Insights</w:t>
        <w:br/>
        <w:t>Sperm Selection Dataset</w:t>
      </w:r>
    </w:p>
    <w:p>
      <w:r>
        <w:t>Prepared Report</w:t>
        <w:br/>
      </w:r>
    </w:p>
    <w:p>
      <w:r>
        <w:br w:type="page"/>
      </w:r>
    </w:p>
    <w:p>
      <w:pPr>
        <w:pStyle w:val="Heading1"/>
      </w:pPr>
      <w:r>
        <w:t>Business Insights</w:t>
      </w:r>
    </w:p>
    <w:p>
      <w:r>
        <w:t>Clinical Performance Drivers</w:t>
      </w:r>
    </w:p>
    <w:p>
      <w:r>
        <w:t>• Fertilization success is more strongly influenced by sperm progressive motility and morphology than concentration.</w:t>
      </w:r>
    </w:p>
    <w:p>
      <w:r>
        <w:t>• Post-fertilization embryo attrition represents the highest opportunity for improvement.</w:t>
      </w:r>
    </w:p>
    <w:p/>
    <w:p>
      <w:r>
        <w:t>Operational Efficiency</w:t>
      </w:r>
    </w:p>
    <w:p>
      <w:r>
        <w:t>• Significant variability exists between embryologists, indicating benefits from standardization.</w:t>
      </w:r>
    </w:p>
    <w:p>
      <w:r>
        <w:t>• Performance stabilizes after 10+ years, emphasizing protocol quality over tenure.</w:t>
      </w:r>
    </w:p>
    <w:p/>
    <w:p>
      <w:r>
        <w:t>Workforce Strategy</w:t>
      </w:r>
    </w:p>
    <w:p>
      <w:r>
        <w:t>• Structured mentorship for embryologists with &lt;5 years experience improves outcomes.</w:t>
      </w:r>
    </w:p>
    <w:p>
      <w:r>
        <w:t>• KPI-based performance tracking enables continuous improvement.</w:t>
      </w:r>
    </w:p>
    <w:p/>
    <w:p>
      <w:r>
        <w:t>Technology &amp; Investment</w:t>
      </w:r>
    </w:p>
    <w:p>
      <w:r>
        <w:t>• Higher magnification microscopy (400x) yields better fertilization outcomes.</w:t>
      </w:r>
    </w:p>
    <w:p>
      <w:r>
        <w:t>• Tight environmental control protects clinical revenue and success rates.</w:t>
      </w:r>
    </w:p>
    <w:p>
      <w:r>
        <w:br w:type="page"/>
      </w:r>
    </w:p>
    <w:p>
      <w:pPr>
        <w:pStyle w:val="Heading1"/>
      </w:pPr>
      <w:r>
        <w:t>Statistical Insights</w:t>
      </w:r>
    </w:p>
    <w:p>
      <w:r>
        <w:t>Dataset Summary</w:t>
      </w:r>
    </w:p>
    <w:p>
      <w:r>
        <w:t>• 1,215 ICSI cycles analyzed across 26 variables.</w:t>
      </w:r>
    </w:p>
    <w:p>
      <w:r>
        <w:t>• Data spans sperm quality, lab conditions, embryologist experience, and outcomes.</w:t>
      </w:r>
    </w:p>
    <w:p/>
    <w:p>
      <w:r>
        <w:t>Outcome Statistics</w:t>
      </w:r>
    </w:p>
    <w:p>
      <w:r>
        <w:t>• Fertilization rate averages 58–62%.</w:t>
      </w:r>
    </w:p>
    <w:p>
      <w:r>
        <w:t>• Usable embryo rate is lower due to post-fertilization attrition.</w:t>
      </w:r>
    </w:p>
    <w:p/>
    <w:p>
      <w:r>
        <w:t>Sperm Parameters</w:t>
      </w:r>
    </w:p>
    <w:p>
      <w:r>
        <w:t>• Progressive motility shows strong positive correlation with fertilization success.</w:t>
      </w:r>
    </w:p>
    <w:p>
      <w:r>
        <w:t>• Normal morphology percentage correlates with embryo usability.</w:t>
      </w:r>
    </w:p>
    <w:p>
      <w:r>
        <w:t>• Presence of large vacuoles negatively impacts outcomes.</w:t>
      </w:r>
    </w:p>
    <w:p/>
    <w:p>
      <w:r>
        <w:t>Environmental Statistics</w:t>
      </w:r>
    </w:p>
    <w:p>
      <w:r>
        <w:t>• Optimal temperature range: 36.8–37.1°C.</w:t>
      </w:r>
    </w:p>
    <w:p>
      <w:r>
        <w:t>• Optimal humidity range: 48–55%.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analysis demonstrates that clinical success is driven by an interaction of biological quality, embryologist expertise, and laboratory controls. Separating business strategy from statistical evidence enables clearer decision-making and measurable ROI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