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B4F8A"/>
          <w:sz w:val="64"/>
          <w:szCs w:val="64"/>
        </w:rPr>
        <w:t xml:space="preserve">SanMitra Tech Solutions</w:t>
      </w:r>
    </w:p>
    <w:p>
      <w:pPr>
        <w:spacing w:after="120"/>
        <w:jc w:val="center"/>
      </w:pPr>
      <w:r>
        <w:rPr>
          <w:rFonts w:ascii="Arial" w:cs="Arial" w:eastAsia="Arial" w:hAnsi="Arial"/>
          <w:color w:val="2E86C1"/>
          <w:sz w:val="36"/>
          <w:szCs w:val="36"/>
        </w:rPr>
        <w:t xml:space="preserve">Unified Platform Documentation</w:t>
      </w:r>
    </w:p>
    <w:p>
      <w:pPr>
        <w:pBdr>
          <w:bottom w:val="single" w:color="2E86C1" w:sz="8" w:space="1"/>
        </w:pBdr>
        <w:spacing w:after="400"/>
        <w:jc w:val="center"/>
      </w:pPr>
    </w:p>
    <w:p>
      <w:pPr>
        <w:spacing w:before="400"/>
      </w:pPr>
    </w:p>
    <w:p>
      <w:pPr>
        <w:jc w:val="center"/>
      </w:pPr>
      <w:r>
        <w:rPr>
          <w:rFonts w:ascii="Arial" w:cs="Arial" w:eastAsia="Arial" w:hAnsi="Arial"/>
          <w:i/>
          <w:iCs/>
          <w:color w:val="7F8C8D"/>
          <w:sz w:val="26"/>
          <w:szCs w:val="26"/>
        </w:rPr>
        <w:t xml:space="preserve">MitraBooks  ·  GharMitra  ·  MandirMitra  ·  LegalMitra  ·  InvestMitra</w:t>
      </w:r>
    </w:p>
    <w:p>
      <w:pPr>
        <w:spacing w:before="800"/>
      </w:pPr>
    </w:p>
    <w:p>
      <w:pPr>
        <w:jc w:val="center"/>
      </w:pPr>
      <w:r>
        <w:rPr>
          <w:rFonts w:ascii="Arial" w:cs="Arial" w:eastAsia="Arial" w:hAnsi="Arial"/>
          <w:color w:val="555555"/>
          <w:sz w:val="22"/>
          <w:szCs w:val="22"/>
        </w:rPr>
        <w:t xml:space="preserve">Version 1.0  ·  May 2026</w:t>
      </w:r>
    </w:p>
    <w:p>
      <w:pPr>
        <w:jc w:val="center"/>
      </w:pPr>
      <w:r>
        <w:rPr>
          <w:rFonts w:ascii="Arial" w:cs="Arial" w:eastAsia="Arial" w:hAnsi="Arial"/>
          <w:b/>
          <w:bCs/>
          <w:color w:val="C0392B"/>
          <w:sz w:val="20"/>
          <w:szCs w:val="20"/>
        </w:rPr>
        <w:t xml:space="preserve">CONFIDENTIAL — Internal Use Only</w:t>
      </w:r>
    </w:p>
    <w:p>
      <w:r>
        <w:br w:type="page"/>
      </w:r>
    </w:p>
    <w:p>
      <w:pPr>
        <w:spacing w:after="60" w:before="200"/>
      </w:pPr>
      <w:r>
        <w:rPr>
          <w:rFonts w:ascii="Arial" w:cs="Arial" w:eastAsia="Arial" w:hAnsi="Arial"/>
          <w:b/>
          <w:bCs/>
          <w:color w:val="1B4F8A"/>
          <w:sz w:val="48"/>
          <w:szCs w:val="48"/>
        </w:rPr>
        <w:t xml:space="preserve">1. README</w:t>
      </w:r>
    </w:p>
    <w:p>
      <w:pPr>
        <w:spacing w:after="300"/>
      </w:pPr>
      <w:r>
        <w:rPr>
          <w:rFonts w:ascii="Arial" w:cs="Arial" w:eastAsia="Arial" w:hAnsi="Arial"/>
          <w:i/>
          <w:iCs/>
          <w:color w:val="7F8C8D"/>
          <w:sz w:val="24"/>
          <w:szCs w:val="24"/>
        </w:rPr>
        <w:t xml:space="preserve">Project Overview &amp; Quick Start</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SanMitra Unified Backend</w:t>
      </w:r>
    </w:p>
    <w:p>
      <w:pPr>
        <w:spacing w:after="100"/>
      </w:pPr>
      <w:r>
        <w:rPr>
          <w:rFonts w:ascii="Arial" w:cs="Arial" w:eastAsia="Arial" w:hAnsi="Arial"/>
          <w:b w:val="false"/>
          <w:bCs w:val="false"/>
          <w:i w:val="false"/>
          <w:iCs w:val="false"/>
          <w:color w:val="2C3E50"/>
          <w:sz w:val="22"/>
          <w:szCs w:val="22"/>
        </w:rPr>
        <w:t xml:space="preserve">Unified FastAPI backend for the entire SanMitra ecosystem — a multi-tenant, modular ERP platform powering accounting, community management, temple &amp; trust operations, legal research, and investment analytics.</w:t>
      </w:r>
    </w:p>
    <w:p>
      <w:pPr>
        <w:pStyle w:val="Heading2"/>
        <w:spacing w:after="80" w:before="240"/>
      </w:pPr>
      <w:r>
        <w:rPr>
          <w:rFonts w:ascii="Arial" w:cs="Arial" w:eastAsia="Arial" w:hAnsi="Arial"/>
          <w:b/>
          <w:bCs/>
          <w:color w:val="2E86C1"/>
          <w:sz w:val="28"/>
          <w:szCs w:val="28"/>
        </w:rPr>
        <w:t xml:space="preserve">Platform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App Key</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Product</w:t>
            </w:r>
          </w:p>
        </w:tc>
        <w:tc>
          <w:tcPr>
            <w:tcW w:type="dxa" w:w="4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Target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mitrabooks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MitraBooks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Businesses, SMEs, CAs, Professionals, Supermarkets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gruhamitra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GharMitra</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Housing societies, RWAs, gated communities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mandirmitra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MandirMitra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Temples, religious trusts, NGOs, charitable institutions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legalmitra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LegalMitra</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Advocates, legal firms, compliance professionals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investmitra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InvestMitra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Individual investors, portfolio managers, advisors</w:t>
            </w:r>
          </w:p>
        </w:tc>
      </w:tr>
    </w:tbl>
    <w:p>
      <w:pPr>
        <w:spacing w:after="200"/>
      </w:pPr>
    </w:p>
    <w:p>
      <w:pPr>
        <w:pStyle w:val="Heading2"/>
        <w:spacing w:after="80" w:before="240"/>
      </w:pPr>
      <w:r>
        <w:rPr>
          <w:rFonts w:ascii="Arial" w:cs="Arial" w:eastAsia="Arial" w:hAnsi="Arial"/>
          <w:b/>
          <w:bCs/>
          <w:color w:val="2E86C1"/>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FastAPI (Python 3.10+) — Modular Monolith</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Accounting DB</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PostgreSQL — double-entry ledger, journals, reports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Domain 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MongoDB — tenants, users, domain data</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Auth</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JWT (access + refresh), bcrypt, RBAC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Frontend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React (per product) — unified frontend planned Phase 3</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Deployment</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Docker + Render / Neon PostgreSQL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Layer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LLM + RAG (Phase 2, app-scoped retrieval)</w:t>
            </w:r>
          </w:p>
        </w:tc>
      </w:tr>
    </w:tbl>
    <w:p>
      <w:pPr>
        <w:spacing w:after="200"/>
      </w:pPr>
    </w:p>
    <w:p>
      <w:pPr>
        <w:pStyle w:val="Heading2"/>
        <w:spacing w:after="80" w:before="240"/>
      </w:pPr>
      <w:r>
        <w:rPr>
          <w:rFonts w:ascii="Arial" w:cs="Arial" w:eastAsia="Arial" w:hAnsi="Arial"/>
          <w:b/>
          <w:bCs/>
          <w:color w:val="2E86C1"/>
          <w:sz w:val="28"/>
          <w:szCs w:val="28"/>
        </w:rPr>
        <w:t xml:space="preserve">Quick Start</w:t>
      </w:r>
    </w:p>
    <w:p>
      <w:pPr>
        <w:pStyle w:val="Heading3"/>
        <w:spacing w:after="60" w:before="160"/>
      </w:pPr>
      <w:r>
        <w:rPr>
          <w:rFonts w:ascii="Arial" w:cs="Arial" w:eastAsia="Arial" w:hAnsi="Arial"/>
          <w:b/>
          <w:bCs/>
          <w:color w:val="2C3E50"/>
          <w:sz w:val="24"/>
          <w:szCs w:val="24"/>
        </w:rPr>
        <w:t xml:space="preserve">Prerequisites</w:t>
      </w:r>
    </w:p>
    <w:p>
      <w:pPr>
        <w:pStyle w:val="ListParagraph"/>
        <w:numPr>
          <w:ilvl w:val="0"/>
          <w:numId w:val="2"/>
        </w:numPr>
        <w:spacing w:after="60"/>
      </w:pPr>
      <w:r>
        <w:rPr>
          <w:rFonts w:ascii="Arial" w:cs="Arial" w:eastAsia="Arial" w:hAnsi="Arial"/>
          <w:color w:val="2C3E50"/>
          <w:sz w:val="22"/>
          <w:szCs w:val="22"/>
        </w:rPr>
        <w:t xml:space="preserve">Python 3.10+</w:t>
      </w:r>
    </w:p>
    <w:p>
      <w:pPr>
        <w:pStyle w:val="ListParagraph"/>
        <w:numPr>
          <w:ilvl w:val="0"/>
          <w:numId w:val="2"/>
        </w:numPr>
        <w:spacing w:after="60"/>
      </w:pPr>
      <w:r>
        <w:rPr>
          <w:rFonts w:ascii="Arial" w:cs="Arial" w:eastAsia="Arial" w:hAnsi="Arial"/>
          <w:color w:val="2C3E50"/>
          <w:sz w:val="22"/>
          <w:szCs w:val="22"/>
        </w:rPr>
        <w:t xml:space="preserve">MongoDB (local or Atlas)</w:t>
      </w:r>
    </w:p>
    <w:p>
      <w:pPr>
        <w:pStyle w:val="ListParagraph"/>
        <w:numPr>
          <w:ilvl w:val="0"/>
          <w:numId w:val="2"/>
        </w:numPr>
        <w:spacing w:after="60"/>
      </w:pPr>
      <w:r>
        <w:rPr>
          <w:rFonts w:ascii="Arial" w:cs="Arial" w:eastAsia="Arial" w:hAnsi="Arial"/>
          <w:color w:val="2C3E50"/>
          <w:sz w:val="22"/>
          <w:szCs w:val="22"/>
        </w:rPr>
        <w:t xml:space="preserve">PostgreSQL (local / Render / Neon)</w:t>
      </w:r>
    </w:p>
    <w:p>
      <w:pPr>
        <w:pStyle w:val="ListParagraph"/>
        <w:numPr>
          <w:ilvl w:val="0"/>
          <w:numId w:val="2"/>
        </w:numPr>
        <w:spacing w:after="60"/>
      </w:pPr>
      <w:r>
        <w:rPr>
          <w:rFonts w:ascii="Arial" w:cs="Arial" w:eastAsia="Arial" w:hAnsi="Arial"/>
          <w:color w:val="2C3E50"/>
          <w:sz w:val="22"/>
          <w:szCs w:val="22"/>
        </w:rPr>
        <w:t xml:space="preserve">Node.js (for frontend builds)</w:t>
      </w:r>
    </w:p>
    <w:p>
      <w:pPr>
        <w:pStyle w:val="Heading3"/>
        <w:spacing w:after="60" w:before="160"/>
      </w:pPr>
      <w:r>
        <w:rPr>
          <w:rFonts w:ascii="Arial" w:cs="Arial" w:eastAsia="Arial" w:hAnsi="Arial"/>
          <w:b/>
          <w:bCs/>
          <w:color w:val="2C3E50"/>
          <w:sz w:val="24"/>
          <w:szCs w:val="24"/>
        </w:rPr>
        <w:t xml:space="preserve">Setup</w:t>
      </w:r>
    </w:p>
    <w:p>
      <w:pPr>
        <w:spacing w:after="100"/>
      </w:pPr>
      <w:r>
        <w:rPr>
          <w:rFonts w:ascii="Arial" w:cs="Arial" w:eastAsia="Arial" w:hAnsi="Arial"/>
          <w:b/>
          <w:bCs/>
          <w:i w:val="false"/>
          <w:iCs w:val="false"/>
          <w:color w:val="2C3E50"/>
          <w:sz w:val="22"/>
          <w:szCs w:val="22"/>
        </w:rPr>
        <w:t xml:space="preserve">1. Clone the repo and create a virtual environment:</w:t>
      </w:r>
    </w:p>
    <w:p>
      <w:pPr>
        <w:spacing w:after="100"/>
      </w:pPr>
      <w:r>
        <w:rPr>
          <w:rFonts w:ascii="Arial" w:cs="Arial" w:eastAsia="Arial" w:hAnsi="Arial"/>
          <w:b w:val="false"/>
          <w:bCs w:val="false"/>
          <w:i/>
          <w:iCs/>
          <w:color w:val="2C3E50"/>
          <w:sz w:val="22"/>
          <w:szCs w:val="22"/>
        </w:rPr>
        <w:t xml:space="preserve">   cd sanmitra-backend</w:t>
      </w:r>
    </w:p>
    <w:p>
      <w:pPr>
        <w:spacing w:after="100"/>
      </w:pPr>
      <w:r>
        <w:rPr>
          <w:rFonts w:ascii="Arial" w:cs="Arial" w:eastAsia="Arial" w:hAnsi="Arial"/>
          <w:b w:val="false"/>
          <w:bCs w:val="false"/>
          <w:i/>
          <w:iCs/>
          <w:color w:val="2C3E50"/>
          <w:sz w:val="22"/>
          <w:szCs w:val="22"/>
        </w:rPr>
        <w:t xml:space="preserve">   python -m venv .venv &amp;&amp; .venv\Scripts\Activate.ps1</w:t>
      </w:r>
    </w:p>
    <w:p>
      <w:pPr>
        <w:spacing w:after="100"/>
      </w:pPr>
      <w:r>
        <w:rPr>
          <w:rFonts w:ascii="Arial" w:cs="Arial" w:eastAsia="Arial" w:hAnsi="Arial"/>
          <w:b w:val="false"/>
          <w:bCs w:val="false"/>
          <w:i/>
          <w:iCs/>
          <w:color w:val="2C3E50"/>
          <w:sz w:val="22"/>
          <w:szCs w:val="22"/>
        </w:rPr>
        <w:t xml:space="preserve">   pip install -r requirements.txt</w:t>
      </w:r>
    </w:p>
    <w:p>
      <w:pPr>
        <w:spacing w:after="100"/>
      </w:pPr>
      <w:r>
        <w:rPr>
          <w:rFonts w:ascii="Arial" w:cs="Arial" w:eastAsia="Arial" w:hAnsi="Arial"/>
          <w:b/>
          <w:bCs/>
          <w:i w:val="false"/>
          <w:iCs w:val="false"/>
          <w:color w:val="2C3E50"/>
          <w:sz w:val="22"/>
          <w:szCs w:val="22"/>
        </w:rPr>
        <w:t xml:space="preserve">2. Copy environment file and configure:</w:t>
      </w:r>
    </w:p>
    <w:p>
      <w:pPr>
        <w:spacing w:after="100"/>
      </w:pPr>
      <w:r>
        <w:rPr>
          <w:rFonts w:ascii="Arial" w:cs="Arial" w:eastAsia="Arial" w:hAnsi="Arial"/>
          <w:b w:val="false"/>
          <w:bCs w:val="false"/>
          <w:i/>
          <w:iCs/>
          <w:color w:val="2C3E50"/>
          <w:sz w:val="22"/>
          <w:szCs w:val="22"/>
        </w:rPr>
        <w:t xml:space="preserve">   cp .env.example .env  # then edit with your DB URIs and secrets</w:t>
      </w:r>
    </w:p>
    <w:p>
      <w:pPr>
        <w:spacing w:after="100"/>
      </w:pPr>
      <w:r>
        <w:rPr>
          <w:rFonts w:ascii="Arial" w:cs="Arial" w:eastAsia="Arial" w:hAnsi="Arial"/>
          <w:b/>
          <w:bCs/>
          <w:i w:val="false"/>
          <w:iCs w:val="false"/>
          <w:color w:val="2C3E50"/>
          <w:sz w:val="22"/>
          <w:szCs w:val="22"/>
        </w:rPr>
        <w:t xml:space="preserve">3. Run database migrations:</w:t>
      </w:r>
    </w:p>
    <w:p>
      <w:pPr>
        <w:spacing w:after="100"/>
      </w:pPr>
      <w:r>
        <w:rPr>
          <w:rFonts w:ascii="Arial" w:cs="Arial" w:eastAsia="Arial" w:hAnsi="Arial"/>
          <w:b w:val="false"/>
          <w:bCs w:val="false"/>
          <w:i/>
          <w:iCs/>
          <w:color w:val="2C3E50"/>
          <w:sz w:val="22"/>
          <w:szCs w:val="22"/>
        </w:rPr>
        <w:t xml:space="preserve">   alembic upgrade head</w:t>
      </w:r>
    </w:p>
    <w:p>
      <w:pPr>
        <w:spacing w:after="100"/>
      </w:pPr>
      <w:r>
        <w:rPr>
          <w:rFonts w:ascii="Arial" w:cs="Arial" w:eastAsia="Arial" w:hAnsi="Arial"/>
          <w:b/>
          <w:bCs/>
          <w:i w:val="false"/>
          <w:iCs w:val="false"/>
          <w:color w:val="2C3E50"/>
          <w:sz w:val="22"/>
          <w:szCs w:val="22"/>
        </w:rPr>
        <w:t xml:space="preserve">4. Start the server:</w:t>
      </w:r>
    </w:p>
    <w:p>
      <w:pPr>
        <w:spacing w:after="100"/>
      </w:pPr>
      <w:r>
        <w:rPr>
          <w:rFonts w:ascii="Arial" w:cs="Arial" w:eastAsia="Arial" w:hAnsi="Arial"/>
          <w:b w:val="false"/>
          <w:bCs w:val="false"/>
          <w:i/>
          <w:iCs/>
          <w:color w:val="2C3E50"/>
          <w:sz w:val="22"/>
          <w:szCs w:val="22"/>
        </w:rPr>
        <w:t xml:space="preserve">   uvicorn app.main:app --reload --host 0.0.0.0 --port 8000</w:t>
      </w:r>
    </w:p>
    <w:p>
      <w:pPr>
        <w:pStyle w:val="Heading3"/>
        <w:spacing w:after="60" w:before="160"/>
      </w:pPr>
      <w:r>
        <w:rPr>
          <w:rFonts w:ascii="Arial" w:cs="Arial" w:eastAsia="Arial" w:hAnsi="Arial"/>
          <w:b/>
          <w:bCs/>
          <w:color w:val="2C3E50"/>
          <w:sz w:val="24"/>
          <w:szCs w:val="24"/>
        </w:rPr>
        <w:t xml:space="preserve">Verify</w:t>
      </w:r>
    </w:p>
    <w:p>
      <w:pPr>
        <w:pStyle w:val="ListParagraph"/>
        <w:numPr>
          <w:ilvl w:val="0"/>
          <w:numId w:val="2"/>
        </w:numPr>
        <w:spacing w:after="60"/>
      </w:pPr>
      <w:r>
        <w:rPr>
          <w:rFonts w:ascii="Arial" w:cs="Arial" w:eastAsia="Arial" w:hAnsi="Arial"/>
          <w:color w:val="2C3E50"/>
          <w:sz w:val="22"/>
          <w:szCs w:val="22"/>
        </w:rPr>
        <w:t xml:space="preserve">Health check: http://localhost:8000/health</w:t>
      </w:r>
    </w:p>
    <w:p>
      <w:pPr>
        <w:pStyle w:val="ListParagraph"/>
        <w:numPr>
          <w:ilvl w:val="0"/>
          <w:numId w:val="2"/>
        </w:numPr>
        <w:spacing w:after="60"/>
      </w:pPr>
      <w:r>
        <w:rPr>
          <w:rFonts w:ascii="Arial" w:cs="Arial" w:eastAsia="Arial" w:hAnsi="Arial"/>
          <w:color w:val="2C3E50"/>
          <w:sz w:val="22"/>
          <w:szCs w:val="22"/>
        </w:rPr>
        <w:t xml:space="preserve">API docs: http://localhost:8000/docs</w:t>
      </w:r>
    </w:p>
    <w:p>
      <w:pPr>
        <w:pStyle w:val="ListParagraph"/>
        <w:numPr>
          <w:ilvl w:val="0"/>
          <w:numId w:val="2"/>
        </w:numPr>
        <w:spacing w:after="60"/>
      </w:pPr>
      <w:r>
        <w:rPr>
          <w:rFonts w:ascii="Arial" w:cs="Arial" w:eastAsia="Arial" w:hAnsi="Arial"/>
          <w:color w:val="2C3E50"/>
          <w:sz w:val="22"/>
          <w:szCs w:val="22"/>
        </w:rPr>
        <w:t xml:space="preserve">Default admin: admin@sanmitra.local / admin123</w:t>
      </w:r>
    </w:p>
    <w:p>
      <w:pPr>
        <w:pStyle w:val="ListParagraph"/>
        <w:numPr>
          <w:ilvl w:val="0"/>
          <w:numId w:val="2"/>
        </w:numPr>
        <w:spacing w:after="60"/>
      </w:pPr>
      <w:r>
        <w:rPr>
          <w:rFonts w:ascii="Arial" w:cs="Arial" w:eastAsia="Arial" w:hAnsi="Arial"/>
          <w:color w:val="2C3E50"/>
          <w:sz w:val="22"/>
          <w:szCs w:val="22"/>
        </w:rPr>
        <w:t xml:space="preserve">Default super-admin: superadmin@sanmitra.local / superadmin123</w:t>
      </w:r>
    </w:p>
    <w:p>
      <w:pPr>
        <w:pStyle w:val="Heading2"/>
        <w:spacing w:after="80" w:before="240"/>
      </w:pPr>
      <w:r>
        <w:rPr>
          <w:rFonts w:ascii="Arial" w:cs="Arial" w:eastAsia="Arial" w:hAnsi="Arial"/>
          <w:b/>
          <w:bCs/>
          <w:color w:val="2E86C1"/>
          <w:sz w:val="28"/>
          <w:szCs w:val="28"/>
        </w:rPr>
        <w:t xml:space="preserve">Default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Unified Backend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8000</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LegalMitra Frontend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GharMitra 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3100</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MandirMitra Frontend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MitraBooks 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3300</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InvestMitra Frontend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3400</w:t>
            </w:r>
          </w:p>
        </w:tc>
      </w:tr>
    </w:tbl>
    <w:p>
      <w:r>
        <w:br w:type="page"/>
      </w:r>
    </w:p>
    <w:p>
      <w:pPr>
        <w:spacing w:after="60" w:before="200"/>
      </w:pPr>
      <w:r>
        <w:rPr>
          <w:rFonts w:ascii="Arial" w:cs="Arial" w:eastAsia="Arial" w:hAnsi="Arial"/>
          <w:b/>
          <w:bCs/>
          <w:color w:val="1B4F8A"/>
          <w:sz w:val="48"/>
          <w:szCs w:val="48"/>
        </w:rPr>
        <w:t xml:space="preserve">2. Product Requirements Document (PRD)</w:t>
      </w:r>
    </w:p>
    <w:p>
      <w:pPr>
        <w:spacing w:after="300"/>
      </w:pPr>
      <w:r>
        <w:rPr>
          <w:rFonts w:ascii="Arial" w:cs="Arial" w:eastAsia="Arial" w:hAnsi="Arial"/>
          <w:i/>
          <w:iCs/>
          <w:color w:val="7F8C8D"/>
          <w:sz w:val="24"/>
          <w:szCs w:val="24"/>
        </w:rPr>
        <w:t xml:space="preserve">SanMitra Unified ERP Platform — v1.0</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Executive Summary</w:t>
      </w:r>
    </w:p>
    <w:p>
      <w:pPr>
        <w:spacing w:after="100"/>
      </w:pPr>
      <w:r>
        <w:rPr>
          <w:rFonts w:ascii="Arial" w:cs="Arial" w:eastAsia="Arial" w:hAnsi="Arial"/>
          <w:b w:val="false"/>
          <w:bCs w:val="false"/>
          <w:i w:val="false"/>
          <w:iCs w:val="false"/>
          <w:color w:val="2C3E50"/>
          <w:sz w:val="22"/>
          <w:szCs w:val="22"/>
        </w:rPr>
        <w:t xml:space="preserve">SanMitra is building a unified, multi-tenant SaaS ERP platform under the MitraBooks brand. Rather than maintaining five separate applications with redundant accounting engines, authentication systems, and reporting stacks, the platform consolidates all products into one modular backend with industry-specific operational modules. This strategy mirrors proven ERP models (Odoo, Zoho, SAP) and positions SanMitra Tech Solutions as a scalable, AI-ready SaaS company.</w:t>
      </w:r>
    </w:p>
    <w:p>
      <w:pPr>
        <w:pStyle w:val="Heading2"/>
        <w:spacing w:after="80" w:before="240"/>
      </w:pPr>
      <w:r>
        <w:rPr>
          <w:rFonts w:ascii="Arial" w:cs="Arial" w:eastAsia="Arial" w:hAnsi="Arial"/>
          <w:b/>
          <w:bCs/>
          <w:color w:val="2E86C1"/>
          <w:sz w:val="28"/>
          <w:szCs w:val="28"/>
        </w:rPr>
        <w:t xml:space="preserve">Problem Statement</w:t>
      </w:r>
    </w:p>
    <w:p>
      <w:pPr>
        <w:pStyle w:val="ListParagraph"/>
        <w:numPr>
          <w:ilvl w:val="0"/>
          <w:numId w:val="2"/>
        </w:numPr>
        <w:spacing w:after="60"/>
      </w:pPr>
      <w:r>
        <w:rPr>
          <w:rFonts w:ascii="Arial" w:cs="Arial" w:eastAsia="Arial" w:hAnsi="Arial"/>
          <w:color w:val="2C3E50"/>
          <w:sz w:val="22"/>
          <w:szCs w:val="22"/>
        </w:rPr>
        <w:t xml:space="preserve">Maintaining 5 separate products = 5× maintenance cost, 5× bug surface, 5× deployment overhead.</w:t>
      </w:r>
    </w:p>
    <w:p>
      <w:pPr>
        <w:pStyle w:val="ListParagraph"/>
        <w:numPr>
          <w:ilvl w:val="0"/>
          <w:numId w:val="2"/>
        </w:numPr>
        <w:spacing w:after="60"/>
      </w:pPr>
      <w:r>
        <w:rPr>
          <w:rFonts w:ascii="Arial" w:cs="Arial" w:eastAsia="Arial" w:hAnsi="Arial"/>
          <w:color w:val="2C3E50"/>
          <w:sz w:val="22"/>
          <w:szCs w:val="22"/>
        </w:rPr>
        <w:t xml:space="preserve">Each product has its own accounting engine — violating DRY and creating divergent financial logic.</w:t>
      </w:r>
    </w:p>
    <w:p>
      <w:pPr>
        <w:pStyle w:val="ListParagraph"/>
        <w:numPr>
          <w:ilvl w:val="0"/>
          <w:numId w:val="2"/>
        </w:numPr>
        <w:spacing w:after="60"/>
      </w:pPr>
      <w:r>
        <w:rPr>
          <w:rFonts w:ascii="Arial" w:cs="Arial" w:eastAsia="Arial" w:hAnsi="Arial"/>
          <w:color w:val="2C3E50"/>
          <w:sz w:val="22"/>
          <w:szCs w:val="22"/>
        </w:rPr>
        <w:t xml:space="preserve">AI capabilities cannot be shared across products when data is siloed.</w:t>
      </w:r>
    </w:p>
    <w:p>
      <w:pPr>
        <w:pStyle w:val="ListParagraph"/>
        <w:numPr>
          <w:ilvl w:val="0"/>
          <w:numId w:val="2"/>
        </w:numPr>
        <w:spacing w:after="60"/>
      </w:pPr>
      <w:r>
        <w:rPr>
          <w:rFonts w:ascii="Arial" w:cs="Arial" w:eastAsia="Arial" w:hAnsi="Arial"/>
          <w:color w:val="2C3E50"/>
          <w:sz w:val="22"/>
          <w:szCs w:val="22"/>
        </w:rPr>
        <w:t xml:space="preserve">Onboarding a new client requires configuring multiple systems instead of one.</w:t>
      </w:r>
    </w:p>
    <w:p>
      <w:pPr>
        <w:pStyle w:val="ListParagraph"/>
        <w:numPr>
          <w:ilvl w:val="0"/>
          <w:numId w:val="2"/>
        </w:numPr>
        <w:spacing w:after="60"/>
      </w:pPr>
      <w:r>
        <w:rPr>
          <w:rFonts w:ascii="Arial" w:cs="Arial" w:eastAsia="Arial" w:hAnsi="Arial"/>
          <w:color w:val="2C3E50"/>
          <w:sz w:val="22"/>
          <w:szCs w:val="22"/>
        </w:rPr>
        <w:t xml:space="preserve">Subscription management, audit trails, and RBAC are duplicated across codebases.</w:t>
      </w:r>
    </w:p>
    <w:p>
      <w:pPr>
        <w:pStyle w:val="Heading2"/>
        <w:spacing w:after="80" w:before="240"/>
      </w:pPr>
      <w:r>
        <w:rPr>
          <w:rFonts w:ascii="Arial" w:cs="Arial" w:eastAsia="Arial" w:hAnsi="Arial"/>
          <w:b/>
          <w:bCs/>
          <w:color w:val="2E86C1"/>
          <w:sz w:val="28"/>
          <w:szCs w:val="28"/>
        </w:rPr>
        <w:t xml:space="preserve">Vision</w:t>
      </w:r>
    </w:p>
    <w:p>
      <w:pPr>
        <w:spacing w:after="100"/>
      </w:pPr>
      <w:r>
        <w:rPr>
          <w:rFonts w:ascii="Arial" w:cs="Arial" w:eastAsia="Arial" w:hAnsi="Arial"/>
          <w:b/>
          <w:bCs/>
          <w:i w:val="false"/>
          <w:iCs w:val="false"/>
          <w:color w:val="2C3E50"/>
          <w:sz w:val="22"/>
          <w:szCs w:val="22"/>
        </w:rPr>
        <w:t xml:space="preserve">One unified platform. One accounting engine. One AI layer. Multiple industry editions.</w:t>
      </w:r>
    </w:p>
    <w:p>
      <w:pPr>
        <w:spacing w:after="100"/>
      </w:pPr>
      <w:r>
        <w:rPr>
          <w:rFonts w:ascii="Arial" w:cs="Arial" w:eastAsia="Arial" w:hAnsi="Arial"/>
          <w:b w:val="false"/>
          <w:bCs w:val="false"/>
          <w:i w:val="false"/>
          <w:iCs w:val="false"/>
          <w:color w:val="2C3E50"/>
          <w:sz w:val="22"/>
          <w:szCs w:val="22"/>
        </w:rPr>
        <w:t xml:space="preserve">The MitraBooks platform powers every vertical through a shared core, with domain-specific modules plugged in dynamically based on the organization's type and subscription plan.</w:t>
      </w:r>
    </w:p>
    <w:p>
      <w:pPr>
        <w:pStyle w:val="Heading2"/>
        <w:spacing w:after="80" w:before="240"/>
      </w:pPr>
      <w:r>
        <w:rPr>
          <w:rFonts w:ascii="Arial" w:cs="Arial" w:eastAsia="Arial" w:hAnsi="Arial"/>
          <w:b/>
          <w:bCs/>
          <w:color w:val="2E86C1"/>
          <w:sz w:val="28"/>
          <w:szCs w:val="28"/>
        </w:rPr>
        <w:t xml:space="preserve">Target Users &amp;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Edition</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Org 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MitraBooks Business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Traders, retailers, SMEs, startups, supermarkets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GharMitra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HOUSING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Society managers, RWA treasurers, residents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MandirMitra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TEMPLE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Trust administrators, priests, donation managers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Professional Edition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PROFESSIONAL</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CAs, doctors, advocates, consultants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LegalMitra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Law firms, legal researchers, compliance teams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InvestMitra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INVESTMENT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Individual investors, portfolio managers</w:t>
            </w:r>
          </w:p>
        </w:tc>
      </w:tr>
    </w:tbl>
    <w:p>
      <w:pPr>
        <w:spacing w:after="200"/>
      </w:pPr>
    </w:p>
    <w:p>
      <w:pPr>
        <w:pStyle w:val="Heading2"/>
        <w:spacing w:after="80" w:before="240"/>
      </w:pPr>
      <w:r>
        <w:rPr>
          <w:rFonts w:ascii="Arial" w:cs="Arial" w:eastAsia="Arial" w:hAnsi="Arial"/>
          <w:b/>
          <w:bCs/>
          <w:color w:val="2E86C1"/>
          <w:sz w:val="28"/>
          <w:szCs w:val="28"/>
        </w:rPr>
        <w:t xml:space="preserve">Core Feature Requirements</w:t>
      </w:r>
    </w:p>
    <w:p>
      <w:pPr>
        <w:pStyle w:val="Heading3"/>
        <w:spacing w:after="60" w:before="160"/>
      </w:pPr>
      <w:r>
        <w:rPr>
          <w:rFonts w:ascii="Arial" w:cs="Arial" w:eastAsia="Arial" w:hAnsi="Arial"/>
          <w:b/>
          <w:bCs/>
          <w:color w:val="2C3E50"/>
          <w:sz w:val="24"/>
          <w:szCs w:val="24"/>
        </w:rPr>
        <w:t xml:space="preserve">Accounting Engine (All Editions)</w:t>
      </w:r>
    </w:p>
    <w:p>
      <w:pPr>
        <w:pStyle w:val="ListParagraph"/>
        <w:numPr>
          <w:ilvl w:val="0"/>
          <w:numId w:val="2"/>
        </w:numPr>
        <w:spacing w:after="60"/>
      </w:pPr>
      <w:r>
        <w:rPr>
          <w:rFonts w:ascii="Arial" w:cs="Arial" w:eastAsia="Arial" w:hAnsi="Arial"/>
          <w:color w:val="2C3E50"/>
          <w:sz w:val="22"/>
          <w:szCs w:val="22"/>
        </w:rPr>
        <w:t xml:space="preserve">Double-entry bookkeeping with enforced debit = credit invariant</w:t>
      </w:r>
    </w:p>
    <w:p>
      <w:pPr>
        <w:pStyle w:val="ListParagraph"/>
        <w:numPr>
          <w:ilvl w:val="0"/>
          <w:numId w:val="2"/>
        </w:numPr>
        <w:spacing w:after="60"/>
      </w:pPr>
      <w:r>
        <w:rPr>
          <w:rFonts w:ascii="Arial" w:cs="Arial" w:eastAsia="Arial" w:hAnsi="Arial"/>
          <w:color w:val="2C3E50"/>
          <w:sz w:val="22"/>
          <w:szCs w:val="22"/>
        </w:rPr>
        <w:t xml:space="preserve">Chart of Accounts with account types: Asset, Liability, Equity, Income, Expense</w:t>
      </w:r>
    </w:p>
    <w:p>
      <w:pPr>
        <w:pStyle w:val="ListParagraph"/>
        <w:numPr>
          <w:ilvl w:val="0"/>
          <w:numId w:val="2"/>
        </w:numPr>
        <w:spacing w:after="60"/>
      </w:pPr>
      <w:r>
        <w:rPr>
          <w:rFonts w:ascii="Arial" w:cs="Arial" w:eastAsia="Arial" w:hAnsi="Arial"/>
          <w:color w:val="2C3E50"/>
          <w:sz w:val="22"/>
          <w:szCs w:val="22"/>
        </w:rPr>
        <w:t xml:space="preserve">Journal entry posting with idempotency key support</w:t>
      </w:r>
    </w:p>
    <w:p>
      <w:pPr>
        <w:pStyle w:val="ListParagraph"/>
        <w:numPr>
          <w:ilvl w:val="0"/>
          <w:numId w:val="2"/>
        </w:numPr>
        <w:spacing w:after="60"/>
      </w:pPr>
      <w:r>
        <w:rPr>
          <w:rFonts w:ascii="Arial" w:cs="Arial" w:eastAsia="Arial" w:hAnsi="Arial"/>
          <w:color w:val="2C3E50"/>
          <w:sz w:val="22"/>
          <w:szCs w:val="22"/>
        </w:rPr>
        <w:t xml:space="preserve">General Ledger with full audit trail</w:t>
      </w:r>
    </w:p>
    <w:p>
      <w:pPr>
        <w:pStyle w:val="ListParagraph"/>
        <w:numPr>
          <w:ilvl w:val="0"/>
          <w:numId w:val="2"/>
        </w:numPr>
        <w:spacing w:after="60"/>
      </w:pPr>
      <w:r>
        <w:rPr>
          <w:rFonts w:ascii="Arial" w:cs="Arial" w:eastAsia="Arial" w:hAnsi="Arial"/>
          <w:color w:val="2C3E50"/>
          <w:sz w:val="22"/>
          <w:szCs w:val="22"/>
        </w:rPr>
        <w:t xml:space="preserve">Reports: Trial Balance, P&amp;L, Balance Sheet, Cash Flow, AR, AP, Income &amp; Expenditure, Receipts &amp; Payments</w:t>
      </w:r>
    </w:p>
    <w:p>
      <w:pPr>
        <w:pStyle w:val="ListParagraph"/>
        <w:numPr>
          <w:ilvl w:val="0"/>
          <w:numId w:val="2"/>
        </w:numPr>
        <w:spacing w:after="60"/>
      </w:pPr>
      <w:r>
        <w:rPr>
          <w:rFonts w:ascii="Arial" w:cs="Arial" w:eastAsia="Arial" w:hAnsi="Arial"/>
          <w:color w:val="2C3E50"/>
          <w:sz w:val="22"/>
          <w:szCs w:val="22"/>
        </w:rPr>
        <w:t xml:space="preserve">GST computation and return filing support</w:t>
      </w:r>
    </w:p>
    <w:p>
      <w:pPr>
        <w:pStyle w:val="ListParagraph"/>
        <w:numPr>
          <w:ilvl w:val="0"/>
          <w:numId w:val="2"/>
        </w:numPr>
        <w:spacing w:after="60"/>
      </w:pPr>
      <w:r>
        <w:rPr>
          <w:rFonts w:ascii="Arial" w:cs="Arial" w:eastAsia="Arial" w:hAnsi="Arial"/>
          <w:color w:val="2C3E50"/>
          <w:sz w:val="22"/>
          <w:szCs w:val="22"/>
        </w:rPr>
        <w:t xml:space="preserve">TDS tracking and deduction management</w:t>
      </w:r>
    </w:p>
    <w:p>
      <w:pPr>
        <w:pStyle w:val="ListParagraph"/>
        <w:numPr>
          <w:ilvl w:val="0"/>
          <w:numId w:val="2"/>
        </w:numPr>
        <w:spacing w:after="60"/>
      </w:pPr>
      <w:r>
        <w:rPr>
          <w:rFonts w:ascii="Arial" w:cs="Arial" w:eastAsia="Arial" w:hAnsi="Arial"/>
          <w:color w:val="2C3E50"/>
          <w:sz w:val="22"/>
          <w:szCs w:val="22"/>
        </w:rPr>
        <w:t xml:space="preserve">Bank reconciliation</w:t>
      </w:r>
    </w:p>
    <w:p>
      <w:pPr>
        <w:pStyle w:val="ListParagraph"/>
        <w:numPr>
          <w:ilvl w:val="0"/>
          <w:numId w:val="2"/>
        </w:numPr>
        <w:spacing w:after="60"/>
      </w:pPr>
      <w:r>
        <w:rPr>
          <w:rFonts w:ascii="Arial" w:cs="Arial" w:eastAsia="Arial" w:hAnsi="Arial"/>
          <w:color w:val="2C3E50"/>
          <w:sz w:val="22"/>
          <w:szCs w:val="22"/>
        </w:rPr>
        <w:t xml:space="preserve">Multi-currency support (Phase 2)</w:t>
      </w:r>
    </w:p>
    <w:p>
      <w:pPr>
        <w:pStyle w:val="Heading3"/>
        <w:spacing w:after="60" w:before="160"/>
      </w:pPr>
      <w:r>
        <w:rPr>
          <w:rFonts w:ascii="Arial" w:cs="Arial" w:eastAsia="Arial" w:hAnsi="Arial"/>
          <w:b/>
          <w:bCs/>
          <w:color w:val="2C3E50"/>
          <w:sz w:val="24"/>
          <w:szCs w:val="24"/>
        </w:rPr>
        <w:t xml:space="preserve">GharMitra Module</w:t>
      </w:r>
    </w:p>
    <w:p>
      <w:pPr>
        <w:pStyle w:val="ListParagraph"/>
        <w:numPr>
          <w:ilvl w:val="0"/>
          <w:numId w:val="2"/>
        </w:numPr>
        <w:spacing w:after="60"/>
      </w:pPr>
      <w:r>
        <w:rPr>
          <w:rFonts w:ascii="Arial" w:cs="Arial" w:eastAsia="Arial" w:hAnsi="Arial"/>
          <w:color w:val="2C3E50"/>
          <w:sz w:val="22"/>
          <w:szCs w:val="22"/>
        </w:rPr>
        <w:t xml:space="preserve">Flat and tower management</w:t>
      </w:r>
    </w:p>
    <w:p>
      <w:pPr>
        <w:pStyle w:val="ListParagraph"/>
        <w:numPr>
          <w:ilvl w:val="0"/>
          <w:numId w:val="2"/>
        </w:numPr>
        <w:spacing w:after="60"/>
      </w:pPr>
      <w:r>
        <w:rPr>
          <w:rFonts w:ascii="Arial" w:cs="Arial" w:eastAsia="Arial" w:hAnsi="Arial"/>
          <w:color w:val="2C3E50"/>
          <w:sz w:val="22"/>
          <w:szCs w:val="22"/>
        </w:rPr>
        <w:t xml:space="preserve">Resident registration and lifecycle management</w:t>
      </w:r>
    </w:p>
    <w:p>
      <w:pPr>
        <w:pStyle w:val="ListParagraph"/>
        <w:numPr>
          <w:ilvl w:val="0"/>
          <w:numId w:val="2"/>
        </w:numPr>
        <w:spacing w:after="60"/>
      </w:pPr>
      <w:r>
        <w:rPr>
          <w:rFonts w:ascii="Arial" w:cs="Arial" w:eastAsia="Arial" w:hAnsi="Arial"/>
          <w:color w:val="2C3E50"/>
          <w:sz w:val="22"/>
          <w:szCs w:val="22"/>
        </w:rPr>
        <w:t xml:space="preserve">Automated maintenance billing with flexible billing cycles</w:t>
      </w:r>
    </w:p>
    <w:p>
      <w:pPr>
        <w:pStyle w:val="ListParagraph"/>
        <w:numPr>
          <w:ilvl w:val="0"/>
          <w:numId w:val="2"/>
        </w:numPr>
        <w:spacing w:after="60"/>
      </w:pPr>
      <w:r>
        <w:rPr>
          <w:rFonts w:ascii="Arial" w:cs="Arial" w:eastAsia="Arial" w:hAnsi="Arial"/>
          <w:color w:val="2C3E50"/>
          <w:sz w:val="22"/>
          <w:szCs w:val="22"/>
        </w:rPr>
        <w:t xml:space="preserve">Complaint and service request management</w:t>
      </w:r>
    </w:p>
    <w:p>
      <w:pPr>
        <w:pStyle w:val="ListParagraph"/>
        <w:numPr>
          <w:ilvl w:val="0"/>
          <w:numId w:val="2"/>
        </w:numPr>
        <w:spacing w:after="60"/>
      </w:pPr>
      <w:r>
        <w:rPr>
          <w:rFonts w:ascii="Arial" w:cs="Arial" w:eastAsia="Arial" w:hAnsi="Arial"/>
          <w:color w:val="2C3E50"/>
          <w:sz w:val="22"/>
          <w:szCs w:val="22"/>
        </w:rPr>
        <w:t xml:space="preserve">Parking slot allocation</w:t>
      </w:r>
    </w:p>
    <w:p>
      <w:pPr>
        <w:pStyle w:val="ListParagraph"/>
        <w:numPr>
          <w:ilvl w:val="0"/>
          <w:numId w:val="2"/>
        </w:numPr>
        <w:spacing w:after="60"/>
      </w:pPr>
      <w:r>
        <w:rPr>
          <w:rFonts w:ascii="Arial" w:cs="Arial" w:eastAsia="Arial" w:hAnsi="Arial"/>
          <w:color w:val="2C3E50"/>
          <w:sz w:val="22"/>
          <w:szCs w:val="22"/>
        </w:rPr>
        <w:t xml:space="preserve">Visitor management</w:t>
      </w:r>
    </w:p>
    <w:p>
      <w:pPr>
        <w:pStyle w:val="ListParagraph"/>
        <w:numPr>
          <w:ilvl w:val="0"/>
          <w:numId w:val="2"/>
        </w:numPr>
        <w:spacing w:after="60"/>
      </w:pPr>
      <w:r>
        <w:rPr>
          <w:rFonts w:ascii="Arial" w:cs="Arial" w:eastAsia="Arial" w:hAnsi="Arial"/>
          <w:color w:val="2C3E50"/>
          <w:sz w:val="22"/>
          <w:szCs w:val="22"/>
        </w:rPr>
        <w:t xml:space="preserve">Vendor payment management</w:t>
      </w:r>
    </w:p>
    <w:p>
      <w:pPr>
        <w:pStyle w:val="ListParagraph"/>
        <w:numPr>
          <w:ilvl w:val="0"/>
          <w:numId w:val="2"/>
        </w:numPr>
        <w:spacing w:after="60"/>
      </w:pPr>
      <w:r>
        <w:rPr>
          <w:rFonts w:ascii="Arial" w:cs="Arial" w:eastAsia="Arial" w:hAnsi="Arial"/>
          <w:color w:val="2C3E50"/>
          <w:sz w:val="22"/>
          <w:szCs w:val="22"/>
        </w:rPr>
        <w:t xml:space="preserve">Audit-ready society accounting</w:t>
      </w:r>
    </w:p>
    <w:p>
      <w:pPr>
        <w:pStyle w:val="Heading3"/>
        <w:spacing w:after="60" w:before="160"/>
      </w:pPr>
      <w:r>
        <w:rPr>
          <w:rFonts w:ascii="Arial" w:cs="Arial" w:eastAsia="Arial" w:hAnsi="Arial"/>
          <w:b/>
          <w:bCs/>
          <w:color w:val="2C3E50"/>
          <w:sz w:val="24"/>
          <w:szCs w:val="24"/>
        </w:rPr>
        <w:t xml:space="preserve">MandirMitra Module</w:t>
      </w:r>
    </w:p>
    <w:p>
      <w:pPr>
        <w:pStyle w:val="ListParagraph"/>
        <w:numPr>
          <w:ilvl w:val="0"/>
          <w:numId w:val="2"/>
        </w:numPr>
        <w:spacing w:after="60"/>
      </w:pPr>
      <w:r>
        <w:rPr>
          <w:rFonts w:ascii="Arial" w:cs="Arial" w:eastAsia="Arial" w:hAnsi="Arial"/>
          <w:color w:val="2C3E50"/>
          <w:sz w:val="22"/>
          <w:szCs w:val="22"/>
        </w:rPr>
        <w:t xml:space="preserve">Donation recording with receipt generation</w:t>
      </w:r>
    </w:p>
    <w:p>
      <w:pPr>
        <w:pStyle w:val="ListParagraph"/>
        <w:numPr>
          <w:ilvl w:val="0"/>
          <w:numId w:val="2"/>
        </w:numPr>
        <w:spacing w:after="60"/>
      </w:pPr>
      <w:r>
        <w:rPr>
          <w:rFonts w:ascii="Arial" w:cs="Arial" w:eastAsia="Arial" w:hAnsi="Arial"/>
          <w:color w:val="2C3E50"/>
          <w:sz w:val="22"/>
          <w:szCs w:val="22"/>
        </w:rPr>
        <w:t xml:space="preserve">Hundi collection tracking</w:t>
      </w:r>
    </w:p>
    <w:p>
      <w:pPr>
        <w:pStyle w:val="ListParagraph"/>
        <w:numPr>
          <w:ilvl w:val="0"/>
          <w:numId w:val="2"/>
        </w:numPr>
        <w:spacing w:after="60"/>
      </w:pPr>
      <w:r>
        <w:rPr>
          <w:rFonts w:ascii="Arial" w:cs="Arial" w:eastAsia="Arial" w:hAnsi="Arial"/>
          <w:color w:val="2C3E50"/>
          <w:sz w:val="22"/>
          <w:szCs w:val="22"/>
        </w:rPr>
        <w:t xml:space="preserve">Seva booking and calendar management</w:t>
      </w:r>
    </w:p>
    <w:p>
      <w:pPr>
        <w:pStyle w:val="ListParagraph"/>
        <w:numPr>
          <w:ilvl w:val="0"/>
          <w:numId w:val="2"/>
        </w:numPr>
        <w:spacing w:after="60"/>
      </w:pPr>
      <w:r>
        <w:rPr>
          <w:rFonts w:ascii="Arial" w:cs="Arial" w:eastAsia="Arial" w:hAnsi="Arial"/>
          <w:color w:val="2C3E50"/>
          <w:sz w:val="22"/>
          <w:szCs w:val="22"/>
        </w:rPr>
        <w:t xml:space="preserve">Trust accounting with corpus fund tracking</w:t>
      </w:r>
    </w:p>
    <w:p>
      <w:pPr>
        <w:pStyle w:val="ListParagraph"/>
        <w:numPr>
          <w:ilvl w:val="0"/>
          <w:numId w:val="2"/>
        </w:numPr>
        <w:spacing w:after="60"/>
      </w:pPr>
      <w:r>
        <w:rPr>
          <w:rFonts w:ascii="Arial" w:cs="Arial" w:eastAsia="Arial" w:hAnsi="Arial"/>
          <w:color w:val="2C3E50"/>
          <w:sz w:val="22"/>
          <w:szCs w:val="22"/>
        </w:rPr>
        <w:t xml:space="preserve">80G receipt generation for tax-exempt donations</w:t>
      </w:r>
    </w:p>
    <w:p>
      <w:pPr>
        <w:pStyle w:val="ListParagraph"/>
        <w:numPr>
          <w:ilvl w:val="0"/>
          <w:numId w:val="2"/>
        </w:numPr>
        <w:spacing w:after="60"/>
      </w:pPr>
      <w:r>
        <w:rPr>
          <w:rFonts w:ascii="Arial" w:cs="Arial" w:eastAsia="Arial" w:hAnsi="Arial"/>
          <w:color w:val="2C3E50"/>
          <w:sz w:val="22"/>
          <w:szCs w:val="22"/>
        </w:rPr>
        <w:t xml:space="preserve">Festival expense planning and tracking</w:t>
      </w:r>
    </w:p>
    <w:p>
      <w:pPr>
        <w:pStyle w:val="ListParagraph"/>
        <w:numPr>
          <w:ilvl w:val="0"/>
          <w:numId w:val="2"/>
        </w:numPr>
        <w:spacing w:after="60"/>
      </w:pPr>
      <w:r>
        <w:rPr>
          <w:rFonts w:ascii="Arial" w:cs="Arial" w:eastAsia="Arial" w:hAnsi="Arial"/>
          <w:color w:val="2C3E50"/>
          <w:sz w:val="22"/>
          <w:szCs w:val="22"/>
        </w:rPr>
        <w:t xml:space="preserve">Devotee database management</w:t>
      </w:r>
    </w:p>
    <w:p>
      <w:pPr>
        <w:pStyle w:val="Heading3"/>
        <w:spacing w:after="60" w:before="160"/>
      </w:pPr>
      <w:r>
        <w:rPr>
          <w:rFonts w:ascii="Arial" w:cs="Arial" w:eastAsia="Arial" w:hAnsi="Arial"/>
          <w:b/>
          <w:bCs/>
          <w:color w:val="2C3E50"/>
          <w:sz w:val="24"/>
          <w:szCs w:val="24"/>
        </w:rPr>
        <w:t xml:space="preserve">MitraBooks Business Module</w:t>
      </w:r>
    </w:p>
    <w:p>
      <w:pPr>
        <w:pStyle w:val="ListParagraph"/>
        <w:numPr>
          <w:ilvl w:val="0"/>
          <w:numId w:val="2"/>
        </w:numPr>
        <w:spacing w:after="60"/>
      </w:pPr>
      <w:r>
        <w:rPr>
          <w:rFonts w:ascii="Arial" w:cs="Arial" w:eastAsia="Arial" w:hAnsi="Arial"/>
          <w:color w:val="2C3E50"/>
          <w:sz w:val="22"/>
          <w:szCs w:val="22"/>
        </w:rPr>
        <w:t xml:space="preserve">GST-compliant invoicing (B2B and B2C)</w:t>
      </w:r>
    </w:p>
    <w:p>
      <w:pPr>
        <w:pStyle w:val="ListParagraph"/>
        <w:numPr>
          <w:ilvl w:val="0"/>
          <w:numId w:val="2"/>
        </w:numPr>
        <w:spacing w:after="60"/>
      </w:pPr>
      <w:r>
        <w:rPr>
          <w:rFonts w:ascii="Arial" w:cs="Arial" w:eastAsia="Arial" w:hAnsi="Arial"/>
          <w:color w:val="2C3E50"/>
          <w:sz w:val="22"/>
          <w:szCs w:val="22"/>
        </w:rPr>
        <w:t xml:space="preserve">Purchase order and vendor management</w:t>
      </w:r>
    </w:p>
    <w:p>
      <w:pPr>
        <w:pStyle w:val="ListParagraph"/>
        <w:numPr>
          <w:ilvl w:val="0"/>
          <w:numId w:val="2"/>
        </w:numPr>
        <w:spacing w:after="60"/>
      </w:pPr>
      <w:r>
        <w:rPr>
          <w:rFonts w:ascii="Arial" w:cs="Arial" w:eastAsia="Arial" w:hAnsi="Arial"/>
          <w:color w:val="2C3E50"/>
          <w:sz w:val="22"/>
          <w:szCs w:val="22"/>
        </w:rPr>
        <w:t xml:space="preserve">Inventory management with stock movements</w:t>
      </w:r>
    </w:p>
    <w:p>
      <w:pPr>
        <w:pStyle w:val="ListParagraph"/>
        <w:numPr>
          <w:ilvl w:val="0"/>
          <w:numId w:val="2"/>
        </w:numPr>
        <w:spacing w:after="60"/>
      </w:pPr>
      <w:r>
        <w:rPr>
          <w:rFonts w:ascii="Arial" w:cs="Arial" w:eastAsia="Arial" w:hAnsi="Arial"/>
          <w:color w:val="2C3E50"/>
          <w:sz w:val="22"/>
          <w:szCs w:val="22"/>
        </w:rPr>
        <w:t xml:space="preserve">Payroll processing</w:t>
      </w:r>
    </w:p>
    <w:p>
      <w:pPr>
        <w:pStyle w:val="ListParagraph"/>
        <w:numPr>
          <w:ilvl w:val="0"/>
          <w:numId w:val="2"/>
        </w:numPr>
        <w:spacing w:after="60"/>
      </w:pPr>
      <w:r>
        <w:rPr>
          <w:rFonts w:ascii="Arial" w:cs="Arial" w:eastAsia="Arial" w:hAnsi="Arial"/>
          <w:color w:val="2C3E50"/>
          <w:sz w:val="22"/>
          <w:szCs w:val="22"/>
        </w:rPr>
        <w:t xml:space="preserve">CRM — customer database and follow-up tracking</w:t>
      </w:r>
    </w:p>
    <w:p>
      <w:pPr>
        <w:pStyle w:val="ListParagraph"/>
        <w:numPr>
          <w:ilvl w:val="0"/>
          <w:numId w:val="2"/>
        </w:numPr>
        <w:spacing w:after="60"/>
      </w:pPr>
      <w:r>
        <w:rPr>
          <w:rFonts w:ascii="Arial" w:cs="Arial" w:eastAsia="Arial" w:hAnsi="Arial"/>
          <w:color w:val="2C3E50"/>
          <w:sz w:val="22"/>
          <w:szCs w:val="22"/>
        </w:rPr>
        <w:t xml:space="preserve">MIS dashboard with AI-generated insights (Phase 2)</w:t>
      </w:r>
    </w:p>
    <w:p>
      <w:pPr>
        <w:pStyle w:val="Heading3"/>
        <w:spacing w:after="60" w:before="160"/>
      </w:pPr>
      <w:r>
        <w:rPr>
          <w:rFonts w:ascii="Arial" w:cs="Arial" w:eastAsia="Arial" w:hAnsi="Arial"/>
          <w:b/>
          <w:bCs/>
          <w:color w:val="2C3E50"/>
          <w:sz w:val="24"/>
          <w:szCs w:val="24"/>
        </w:rPr>
        <w:t xml:space="preserve">LegalMitra Module</w:t>
      </w:r>
    </w:p>
    <w:p>
      <w:pPr>
        <w:pStyle w:val="ListParagraph"/>
        <w:numPr>
          <w:ilvl w:val="0"/>
          <w:numId w:val="2"/>
        </w:numPr>
        <w:spacing w:after="60"/>
      </w:pPr>
      <w:r>
        <w:rPr>
          <w:rFonts w:ascii="Arial" w:cs="Arial" w:eastAsia="Arial" w:hAnsi="Arial"/>
          <w:color w:val="2C3E50"/>
          <w:sz w:val="22"/>
          <w:szCs w:val="22"/>
        </w:rPr>
        <w:t xml:space="preserve">Case management — create, assign, track legal cases</w:t>
      </w:r>
    </w:p>
    <w:p>
      <w:pPr>
        <w:pStyle w:val="ListParagraph"/>
        <w:numPr>
          <w:ilvl w:val="0"/>
          <w:numId w:val="2"/>
        </w:numPr>
        <w:spacing w:after="60"/>
      </w:pPr>
      <w:r>
        <w:rPr>
          <w:rFonts w:ascii="Arial" w:cs="Arial" w:eastAsia="Arial" w:hAnsi="Arial"/>
          <w:color w:val="2C3E50"/>
          <w:sz w:val="22"/>
          <w:szCs w:val="22"/>
        </w:rPr>
        <w:t xml:space="preserve">Document management with version control</w:t>
      </w:r>
    </w:p>
    <w:p>
      <w:pPr>
        <w:pStyle w:val="ListParagraph"/>
        <w:numPr>
          <w:ilvl w:val="0"/>
          <w:numId w:val="2"/>
        </w:numPr>
        <w:spacing w:after="60"/>
      </w:pPr>
      <w:r>
        <w:rPr>
          <w:rFonts w:ascii="Arial" w:cs="Arial" w:eastAsia="Arial" w:hAnsi="Arial"/>
          <w:color w:val="2C3E50"/>
          <w:sz w:val="22"/>
          <w:szCs w:val="22"/>
        </w:rPr>
        <w:t xml:space="preserve">RAG-powered legal research with jurisdiction and court filters</w:t>
      </w:r>
    </w:p>
    <w:p>
      <w:pPr>
        <w:pStyle w:val="ListParagraph"/>
        <w:numPr>
          <w:ilvl w:val="0"/>
          <w:numId w:val="2"/>
        </w:numPr>
        <w:spacing w:after="60"/>
      </w:pPr>
      <w:r>
        <w:rPr>
          <w:rFonts w:ascii="Arial" w:cs="Arial" w:eastAsia="Arial" w:hAnsi="Arial"/>
          <w:color w:val="2C3E50"/>
          <w:sz w:val="22"/>
          <w:szCs w:val="22"/>
        </w:rPr>
        <w:t xml:space="preserve">Compliance calendar and reminder system</w:t>
      </w:r>
    </w:p>
    <w:p>
      <w:pPr>
        <w:pStyle w:val="ListParagraph"/>
        <w:numPr>
          <w:ilvl w:val="0"/>
          <w:numId w:val="2"/>
        </w:numPr>
        <w:spacing w:after="60"/>
      </w:pPr>
      <w:r>
        <w:rPr>
          <w:rFonts w:ascii="Arial" w:cs="Arial" w:eastAsia="Arial" w:hAnsi="Arial"/>
          <w:color w:val="2C3E50"/>
          <w:sz w:val="22"/>
          <w:szCs w:val="22"/>
        </w:rPr>
        <w:t xml:space="preserve">Client billing integration</w:t>
      </w:r>
    </w:p>
    <w:p>
      <w:pPr>
        <w:pStyle w:val="Heading3"/>
        <w:spacing w:after="60" w:before="160"/>
      </w:pPr>
      <w:r>
        <w:rPr>
          <w:rFonts w:ascii="Arial" w:cs="Arial" w:eastAsia="Arial" w:hAnsi="Arial"/>
          <w:b/>
          <w:bCs/>
          <w:color w:val="2C3E50"/>
          <w:sz w:val="24"/>
          <w:szCs w:val="24"/>
        </w:rPr>
        <w:t xml:space="preserve">InvestMitra Module</w:t>
      </w:r>
    </w:p>
    <w:p>
      <w:pPr>
        <w:pStyle w:val="ListParagraph"/>
        <w:numPr>
          <w:ilvl w:val="0"/>
          <w:numId w:val="2"/>
        </w:numPr>
        <w:spacing w:after="60"/>
      </w:pPr>
      <w:r>
        <w:rPr>
          <w:rFonts w:ascii="Arial" w:cs="Arial" w:eastAsia="Arial" w:hAnsi="Arial"/>
          <w:color w:val="2C3E50"/>
          <w:sz w:val="22"/>
          <w:szCs w:val="22"/>
        </w:rPr>
        <w:t xml:space="preserve">Portfolio holdings management</w:t>
      </w:r>
    </w:p>
    <w:p>
      <w:pPr>
        <w:pStyle w:val="ListParagraph"/>
        <w:numPr>
          <w:ilvl w:val="0"/>
          <w:numId w:val="2"/>
        </w:numPr>
        <w:spacing w:after="60"/>
      </w:pPr>
      <w:r>
        <w:rPr>
          <w:rFonts w:ascii="Arial" w:cs="Arial" w:eastAsia="Arial" w:hAnsi="Arial"/>
          <w:color w:val="2C3E50"/>
          <w:sz w:val="22"/>
          <w:szCs w:val="22"/>
        </w:rPr>
        <w:t xml:space="preserve">Asset class tracking — equity, debt, MF, gold, real estate</w:t>
      </w:r>
    </w:p>
    <w:p>
      <w:pPr>
        <w:pStyle w:val="ListParagraph"/>
        <w:numPr>
          <w:ilvl w:val="0"/>
          <w:numId w:val="2"/>
        </w:numPr>
        <w:spacing w:after="60"/>
      </w:pPr>
      <w:r>
        <w:rPr>
          <w:rFonts w:ascii="Arial" w:cs="Arial" w:eastAsia="Arial" w:hAnsi="Arial"/>
          <w:color w:val="2C3E50"/>
          <w:sz w:val="22"/>
          <w:szCs w:val="22"/>
        </w:rPr>
        <w:t xml:space="preserve">P&amp;L and XIRR calculation</w:t>
      </w:r>
    </w:p>
    <w:p>
      <w:pPr>
        <w:pStyle w:val="ListParagraph"/>
        <w:numPr>
          <w:ilvl w:val="0"/>
          <w:numId w:val="2"/>
        </w:numPr>
        <w:spacing w:after="60"/>
      </w:pPr>
      <w:r>
        <w:rPr>
          <w:rFonts w:ascii="Arial" w:cs="Arial" w:eastAsia="Arial" w:hAnsi="Arial"/>
          <w:color w:val="2C3E50"/>
          <w:sz w:val="22"/>
          <w:szCs w:val="22"/>
        </w:rPr>
        <w:t xml:space="preserve">AI-powered portfolio insights (Phase 2)</w:t>
      </w:r>
    </w:p>
    <w:p>
      <w:pPr>
        <w:pStyle w:val="Heading2"/>
        <w:spacing w:after="80" w:before="240"/>
      </w:pPr>
      <w:r>
        <w:rPr>
          <w:rFonts w:ascii="Arial" w:cs="Arial" w:eastAsia="Arial" w:hAnsi="Arial"/>
          <w:b/>
          <w:bCs/>
          <w:color w:val="2E86C1"/>
          <w:sz w:val="28"/>
          <w:szCs w:val="28"/>
        </w:rPr>
        <w:t xml:space="preserve">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Price</w:t>
            </w:r>
          </w:p>
        </w:tc>
        <w:tc>
          <w:tcPr>
            <w:tcW w:type="dxa" w:w="2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Features</w:t>
            </w:r>
          </w:p>
        </w:tc>
        <w:tc>
          <w:tcPr>
            <w:tcW w:type="dxa" w:w="2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Basic accounting, 1 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Trials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₹499/month</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GST + Reports + 5 users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Small orgs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Elite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₹999/month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 Automation + 20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Growing orgs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Enterprise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Custom</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Full ERP + unlimited users + SLA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Large orgs</w:t>
            </w:r>
          </w:p>
        </w:tc>
      </w:tr>
    </w:tbl>
    <w:p>
      <w:pPr>
        <w:spacing w:after="200"/>
      </w:pPr>
    </w:p>
    <w:p>
      <w:pPr>
        <w:pStyle w:val="Heading2"/>
        <w:spacing w:after="80" w:before="240"/>
      </w:pPr>
      <w:r>
        <w:rPr>
          <w:rFonts w:ascii="Arial" w:cs="Arial" w:eastAsia="Arial" w:hAnsi="Arial"/>
          <w:b/>
          <w:bCs/>
          <w:color w:val="2E86C1"/>
          <w:sz w:val="28"/>
          <w:szCs w:val="28"/>
        </w:rPr>
        <w:t xml:space="preserve">Non-Functional Requirements</w:t>
      </w:r>
    </w:p>
    <w:p>
      <w:pPr>
        <w:pStyle w:val="ListParagraph"/>
        <w:numPr>
          <w:ilvl w:val="0"/>
          <w:numId w:val="2"/>
        </w:numPr>
        <w:spacing w:after="60"/>
      </w:pPr>
      <w:r>
        <w:rPr>
          <w:rFonts w:ascii="Arial" w:cs="Arial" w:eastAsia="Arial" w:hAnsi="Arial"/>
          <w:color w:val="2C3E50"/>
          <w:sz w:val="22"/>
          <w:szCs w:val="22"/>
        </w:rPr>
        <w:t xml:space="preserve">Horizontal scalability — stateless API, DB-level tenant isolation</w:t>
      </w:r>
    </w:p>
    <w:p>
      <w:pPr>
        <w:pStyle w:val="ListParagraph"/>
        <w:numPr>
          <w:ilvl w:val="0"/>
          <w:numId w:val="2"/>
        </w:numPr>
        <w:spacing w:after="60"/>
      </w:pPr>
      <w:r>
        <w:rPr>
          <w:rFonts w:ascii="Arial" w:cs="Arial" w:eastAsia="Arial" w:hAnsi="Arial"/>
          <w:color w:val="2C3E50"/>
          <w:sz w:val="22"/>
          <w:szCs w:val="22"/>
        </w:rPr>
        <w:t xml:space="preserve">Security — JWT auth, RBAC, bcrypt, tenant-scoped DB operations</w:t>
      </w:r>
    </w:p>
    <w:p>
      <w:pPr>
        <w:pStyle w:val="ListParagraph"/>
        <w:numPr>
          <w:ilvl w:val="0"/>
          <w:numId w:val="2"/>
        </w:numPr>
        <w:spacing w:after="60"/>
      </w:pPr>
      <w:r>
        <w:rPr>
          <w:rFonts w:ascii="Arial" w:cs="Arial" w:eastAsia="Arial" w:hAnsi="Arial"/>
          <w:color w:val="2C3E50"/>
          <w:sz w:val="22"/>
          <w:szCs w:val="22"/>
        </w:rPr>
        <w:t xml:space="preserve">Auditability — immutable audit log for every create/update/delete</w:t>
      </w:r>
    </w:p>
    <w:p>
      <w:pPr>
        <w:pStyle w:val="ListParagraph"/>
        <w:numPr>
          <w:ilvl w:val="0"/>
          <w:numId w:val="2"/>
        </w:numPr>
        <w:spacing w:after="60"/>
      </w:pPr>
      <w:r>
        <w:rPr>
          <w:rFonts w:ascii="Arial" w:cs="Arial" w:eastAsia="Arial" w:hAnsi="Arial"/>
          <w:color w:val="2C3E50"/>
          <w:sz w:val="22"/>
          <w:szCs w:val="22"/>
        </w:rPr>
        <w:t xml:space="preserve">API-first — all frontend interactions through versioned REST APIs</w:t>
      </w:r>
    </w:p>
    <w:p>
      <w:pPr>
        <w:pStyle w:val="ListParagraph"/>
        <w:numPr>
          <w:ilvl w:val="0"/>
          <w:numId w:val="2"/>
        </w:numPr>
        <w:spacing w:after="60"/>
      </w:pPr>
      <w:r>
        <w:rPr>
          <w:rFonts w:ascii="Arial" w:cs="Arial" w:eastAsia="Arial" w:hAnsi="Arial"/>
          <w:color w:val="2C3E50"/>
          <w:sz w:val="22"/>
          <w:szCs w:val="22"/>
        </w:rPr>
        <w:t xml:space="preserve">Modularity — new verticals must be addable without touching core</w:t>
      </w:r>
    </w:p>
    <w:p>
      <w:pPr>
        <w:pStyle w:val="ListParagraph"/>
        <w:numPr>
          <w:ilvl w:val="0"/>
          <w:numId w:val="2"/>
        </w:numPr>
        <w:spacing w:after="60"/>
      </w:pPr>
      <w:r>
        <w:rPr>
          <w:rFonts w:ascii="Arial" w:cs="Arial" w:eastAsia="Arial" w:hAnsi="Arial"/>
          <w:color w:val="2C3E50"/>
          <w:sz w:val="22"/>
          <w:szCs w:val="22"/>
        </w:rPr>
        <w:t xml:space="preserve">Cloud-ready — Docker, environment-variable configuration, Render/AWS deployment</w:t>
      </w:r>
    </w:p>
    <w:p>
      <w:pPr>
        <w:pStyle w:val="ListParagraph"/>
        <w:numPr>
          <w:ilvl w:val="0"/>
          <w:numId w:val="2"/>
        </w:numPr>
        <w:spacing w:after="60"/>
      </w:pPr>
      <w:r>
        <w:rPr>
          <w:rFonts w:ascii="Arial" w:cs="Arial" w:eastAsia="Arial" w:hAnsi="Arial"/>
          <w:color w:val="2C3E50"/>
          <w:sz w:val="22"/>
          <w:szCs w:val="22"/>
        </w:rPr>
        <w:t xml:space="preserve">Availability — 99.5% uptime SLA for Pro and above</w:t>
      </w:r>
    </w:p>
    <w:p>
      <w:pPr>
        <w:pStyle w:val="ListParagraph"/>
        <w:numPr>
          <w:ilvl w:val="0"/>
          <w:numId w:val="2"/>
        </w:numPr>
        <w:spacing w:after="60"/>
      </w:pPr>
      <w:r>
        <w:rPr>
          <w:rFonts w:ascii="Arial" w:cs="Arial" w:eastAsia="Arial" w:hAnsi="Arial"/>
          <w:color w:val="2C3E50"/>
          <w:sz w:val="22"/>
          <w:szCs w:val="22"/>
        </w:rPr>
        <w:t xml:space="preserve">Data retention — accounting data never deleted, soft-delete only</w:t>
      </w:r>
    </w:p>
    <w:p>
      <w:r>
        <w:br w:type="page"/>
      </w:r>
    </w:p>
    <w:p>
      <w:pPr>
        <w:spacing w:after="60" w:before="200"/>
      </w:pPr>
      <w:r>
        <w:rPr>
          <w:rFonts w:ascii="Arial" w:cs="Arial" w:eastAsia="Arial" w:hAnsi="Arial"/>
          <w:b/>
          <w:bCs/>
          <w:color w:val="1B4F8A"/>
          <w:sz w:val="48"/>
          <w:szCs w:val="48"/>
        </w:rPr>
        <w:t xml:space="preserve">3. Architecture Document</w:t>
      </w:r>
    </w:p>
    <w:p>
      <w:pPr>
        <w:spacing w:after="300"/>
      </w:pPr>
      <w:r>
        <w:rPr>
          <w:rFonts w:ascii="Arial" w:cs="Arial" w:eastAsia="Arial" w:hAnsi="Arial"/>
          <w:i/>
          <w:iCs/>
          <w:color w:val="7F8C8D"/>
          <w:sz w:val="24"/>
          <w:szCs w:val="24"/>
        </w:rPr>
        <w:t xml:space="preserve">System Design &amp; Technical Blueprint</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Architecture Style: Modular Monolith</w:t>
      </w:r>
    </w:p>
    <w:p>
      <w:pPr>
        <w:spacing w:after="100"/>
      </w:pPr>
      <w:r>
        <w:rPr>
          <w:rFonts w:ascii="Arial" w:cs="Arial" w:eastAsia="Arial" w:hAnsi="Arial"/>
          <w:b w:val="false"/>
          <w:bCs w:val="false"/>
          <w:i w:val="false"/>
          <w:iCs w:val="false"/>
          <w:color w:val="2C3E50"/>
          <w:sz w:val="22"/>
          <w:szCs w:val="22"/>
        </w:rPr>
        <w:t xml:space="preserve">The SanMitra backend is a modular monolith — all modules run in one process but are organised into strictly bounded contexts. This is the correct choice at current scale: it offers the operational simplicity of a monolith with the code organisation discipline of microservices. Migration to microservices is possible later if individual modules need independent scaling.</w:t>
      </w:r>
    </w:p>
    <w:p>
      <w:pPr>
        <w:pStyle w:val="Heading2"/>
        <w:spacing w:after="80" w:before="240"/>
      </w:pPr>
      <w:r>
        <w:rPr>
          <w:rFonts w:ascii="Arial" w:cs="Arial" w:eastAsia="Arial" w:hAnsi="Arial"/>
          <w:b/>
          <w:bCs/>
          <w:color w:val="2E86C1"/>
          <w:sz w:val="28"/>
          <w:szCs w:val="28"/>
        </w:rPr>
        <w:t xml:space="preserve">High-Level Architecture</w:t>
      </w:r>
    </w:p>
    <w:p>
      <w:pPr>
        <w:spacing w:after="100"/>
      </w:pPr>
      <w:r>
        <w:rPr>
          <w:rFonts w:ascii="Arial" w:cs="Arial" w:eastAsia="Arial" w:hAnsi="Arial"/>
          <w:b w:val="false"/>
          <w:bCs w:val="false"/>
          <w:i w:val="false"/>
          <w:iCs w:val="false"/>
          <w:color w:val="2C3E50"/>
          <w:sz w:val="22"/>
          <w:szCs w:val="22"/>
        </w:rPr>
        <w:t xml:space="preserve">Clients (React frontends) communicate with a single FastAPI backend via REST APIs. The backend resolves tenant and module context from JWT + X-App-Key headers, routes to the appropriate module, and writes to either PostgreSQL (accounting) or MongoDB (domain data). All financial transactions write to PostgreSQL exclusively; domain data lives in MongoDB.</w:t>
      </w:r>
    </w:p>
    <w:p>
      <w:pPr>
        <w:pStyle w:val="Heading2"/>
        <w:spacing w:after="80" w:before="240"/>
      </w:pPr>
      <w:r>
        <w:rPr>
          <w:rFonts w:ascii="Arial" w:cs="Arial" w:eastAsia="Arial" w:hAnsi="Arial"/>
          <w:b/>
          <w:bCs/>
          <w:color w:val="2E86C1"/>
          <w:sz w:val="28"/>
          <w:szCs w:val="28"/>
        </w:rPr>
        <w:t xml:space="preserve">Backend Directory Structure</w:t>
      </w:r>
    </w:p>
    <w:p>
      <w:pPr>
        <w:spacing w:after="100"/>
      </w:pPr>
      <w:r>
        <w:rPr>
          <w:rFonts w:ascii="Arial" w:cs="Arial" w:eastAsia="Arial" w:hAnsi="Arial"/>
          <w:b/>
          <w:bCs/>
          <w:i w:val="false"/>
          <w:iCs w:val="false"/>
          <w:color w:val="2C3E50"/>
          <w:sz w:val="22"/>
          <w:szCs w:val="22"/>
        </w:rPr>
        <w:t xml:space="preserve">app/</w:t>
      </w:r>
    </w:p>
    <w:p>
      <w:pPr>
        <w:pStyle w:val="ListParagraph"/>
        <w:numPr>
          <w:ilvl w:val="0"/>
          <w:numId w:val="2"/>
        </w:numPr>
        <w:spacing w:after="60"/>
      </w:pPr>
      <w:r>
        <w:rPr>
          <w:rFonts w:ascii="Arial" w:cs="Arial" w:eastAsia="Arial" w:hAnsi="Arial"/>
          <w:color w:val="2C3E50"/>
          <w:sz w:val="22"/>
          <w:szCs w:val="22"/>
        </w:rPr>
        <w:t xml:space="preserve">main.py — FastAPI application, router registration, startup lifecycle</w:t>
      </w:r>
    </w:p>
    <w:p>
      <w:pPr>
        <w:pStyle w:val="ListParagraph"/>
        <w:numPr>
          <w:ilvl w:val="0"/>
          <w:numId w:val="2"/>
        </w:numPr>
        <w:spacing w:after="60"/>
      </w:pPr>
      <w:r>
        <w:rPr>
          <w:rFonts w:ascii="Arial" w:cs="Arial" w:eastAsia="Arial" w:hAnsi="Arial"/>
          <w:color w:val="2C3E50"/>
          <w:sz w:val="22"/>
          <w:szCs w:val="22"/>
        </w:rPr>
        <w:t xml:space="preserve">config.py — Settings via environment variables (Pydantic BaseSettings)</w:t>
      </w:r>
    </w:p>
    <w:p>
      <w:pPr>
        <w:pStyle w:val="ListParagraph"/>
        <w:numPr>
          <w:ilvl w:val="0"/>
          <w:numId w:val="2"/>
        </w:numPr>
        <w:spacing w:after="60"/>
      </w:pPr>
      <w:r>
        <w:rPr>
          <w:rFonts w:ascii="Arial" w:cs="Arial" w:eastAsia="Arial" w:hAnsi="Arial"/>
          <w:color w:val="2C3E50"/>
          <w:sz w:val="22"/>
          <w:szCs w:val="22"/>
        </w:rPr>
        <w:t xml:space="preserve">api/v1/router.py — Central router mounting all module routes</w:t>
      </w:r>
    </w:p>
    <w:p>
      <w:pPr>
        <w:spacing w:after="100"/>
      </w:pPr>
      <w:r>
        <w:rPr>
          <w:rFonts w:ascii="Arial" w:cs="Arial" w:eastAsia="Arial" w:hAnsi="Arial"/>
          <w:b/>
          <w:bCs/>
          <w:i w:val="false"/>
          <w:iCs w:val="false"/>
          <w:color w:val="2C3E50"/>
          <w:sz w:val="22"/>
          <w:szCs w:val="22"/>
        </w:rPr>
        <w:t xml:space="preserve">app/core/ — Shared infrastructure (no business logic)</w:t>
      </w:r>
    </w:p>
    <w:p>
      <w:pPr>
        <w:pStyle w:val="ListParagraph"/>
        <w:numPr>
          <w:ilvl w:val="0"/>
          <w:numId w:val="2"/>
        </w:numPr>
        <w:spacing w:after="60"/>
      </w:pPr>
      <w:r>
        <w:rPr>
          <w:rFonts w:ascii="Arial" w:cs="Arial" w:eastAsia="Arial" w:hAnsi="Arial"/>
          <w:color w:val="2C3E50"/>
          <w:sz w:val="22"/>
          <w:szCs w:val="22"/>
        </w:rPr>
        <w:t xml:space="preserve">auth/ — JWT creation/verification, token rotation, bcrypt hashing</w:t>
      </w:r>
    </w:p>
    <w:p>
      <w:pPr>
        <w:pStyle w:val="ListParagraph"/>
        <w:numPr>
          <w:ilvl w:val="0"/>
          <w:numId w:val="2"/>
        </w:numPr>
        <w:spacing w:after="60"/>
      </w:pPr>
      <w:r>
        <w:rPr>
          <w:rFonts w:ascii="Arial" w:cs="Arial" w:eastAsia="Arial" w:hAnsi="Arial"/>
          <w:color w:val="2C3E50"/>
          <w:sz w:val="22"/>
          <w:szCs w:val="22"/>
        </w:rPr>
        <w:t xml:space="preserve">tenants/ — Tenant context injection, middleware, isolation enforcement</w:t>
      </w:r>
    </w:p>
    <w:p>
      <w:pPr>
        <w:pStyle w:val="ListParagraph"/>
        <w:numPr>
          <w:ilvl w:val="0"/>
          <w:numId w:val="2"/>
        </w:numPr>
        <w:spacing w:after="60"/>
      </w:pPr>
      <w:r>
        <w:rPr>
          <w:rFonts w:ascii="Arial" w:cs="Arial" w:eastAsia="Arial" w:hAnsi="Arial"/>
          <w:color w:val="2C3E50"/>
          <w:sz w:val="22"/>
          <w:szCs w:val="22"/>
        </w:rPr>
        <w:t xml:space="preserve">permissions/ — RBAC: role enum, permission guards, decorators</w:t>
      </w:r>
    </w:p>
    <w:p>
      <w:pPr>
        <w:pStyle w:val="ListParagraph"/>
        <w:numPr>
          <w:ilvl w:val="0"/>
          <w:numId w:val="2"/>
        </w:numPr>
        <w:spacing w:after="60"/>
      </w:pPr>
      <w:r>
        <w:rPr>
          <w:rFonts w:ascii="Arial" w:cs="Arial" w:eastAsia="Arial" w:hAnsi="Arial"/>
          <w:color w:val="2C3E50"/>
          <w:sz w:val="22"/>
          <w:szCs w:val="22"/>
        </w:rPr>
        <w:t xml:space="preserve">users/ — User CRUD, tenant-user mapping</w:t>
      </w:r>
    </w:p>
    <w:p>
      <w:pPr>
        <w:pStyle w:val="ListParagraph"/>
        <w:numPr>
          <w:ilvl w:val="0"/>
          <w:numId w:val="2"/>
        </w:numPr>
        <w:spacing w:after="60"/>
      </w:pPr>
      <w:r>
        <w:rPr>
          <w:rFonts w:ascii="Arial" w:cs="Arial" w:eastAsia="Arial" w:hAnsi="Arial"/>
          <w:color w:val="2C3E50"/>
          <w:sz w:val="22"/>
          <w:szCs w:val="22"/>
        </w:rPr>
        <w:t xml:space="preserve">audit/ — Immutable audit log writer (MongoDB)</w:t>
      </w:r>
    </w:p>
    <w:p>
      <w:pPr>
        <w:pStyle w:val="ListParagraph"/>
        <w:numPr>
          <w:ilvl w:val="0"/>
          <w:numId w:val="2"/>
        </w:numPr>
        <w:spacing w:after="60"/>
      </w:pPr>
      <w:r>
        <w:rPr>
          <w:rFonts w:ascii="Arial" w:cs="Arial" w:eastAsia="Arial" w:hAnsi="Arial"/>
          <w:color w:val="2C3E50"/>
          <w:sz w:val="22"/>
          <w:szCs w:val="22"/>
        </w:rPr>
        <w:t xml:space="preserve">notifications/ — Notification engine scaffold</w:t>
      </w:r>
    </w:p>
    <w:p>
      <w:pPr>
        <w:pStyle w:val="ListParagraph"/>
        <w:numPr>
          <w:ilvl w:val="0"/>
          <w:numId w:val="2"/>
        </w:numPr>
        <w:spacing w:after="60"/>
      </w:pPr>
      <w:r>
        <w:rPr>
          <w:rFonts w:ascii="Arial" w:cs="Arial" w:eastAsia="Arial" w:hAnsi="Arial"/>
          <w:color w:val="2C3E50"/>
          <w:sz w:val="22"/>
          <w:szCs w:val="22"/>
        </w:rPr>
        <w:t xml:space="preserve">billing/ — Razorpay webhook, subscription status model</w:t>
      </w:r>
    </w:p>
    <w:p>
      <w:pPr>
        <w:spacing w:after="100"/>
      </w:pPr>
      <w:r>
        <w:rPr>
          <w:rFonts w:ascii="Arial" w:cs="Arial" w:eastAsia="Arial" w:hAnsi="Arial"/>
          <w:b/>
          <w:bCs/>
          <w:i w:val="false"/>
          <w:iCs w:val="false"/>
          <w:color w:val="2C3E50"/>
          <w:sz w:val="22"/>
          <w:szCs w:val="22"/>
        </w:rPr>
        <w:t xml:space="preserve">app/accounting/ — Core financial engine (PostgreSQL)</w:t>
      </w:r>
    </w:p>
    <w:p>
      <w:pPr>
        <w:pStyle w:val="ListParagraph"/>
        <w:numPr>
          <w:ilvl w:val="0"/>
          <w:numId w:val="2"/>
        </w:numPr>
        <w:spacing w:after="60"/>
      </w:pPr>
      <w:r>
        <w:rPr>
          <w:rFonts w:ascii="Arial" w:cs="Arial" w:eastAsia="Arial" w:hAnsi="Arial"/>
          <w:color w:val="2C3E50"/>
          <w:sz w:val="22"/>
          <w:szCs w:val="22"/>
        </w:rPr>
        <w:t xml:space="preserve">models/ — SQLAlchemy models: accounts, journal_entries, journal_lines</w:t>
      </w:r>
    </w:p>
    <w:p>
      <w:pPr>
        <w:pStyle w:val="ListParagraph"/>
        <w:numPr>
          <w:ilvl w:val="0"/>
          <w:numId w:val="2"/>
        </w:numPr>
        <w:spacing w:after="60"/>
      </w:pPr>
      <w:r>
        <w:rPr>
          <w:rFonts w:ascii="Arial" w:cs="Arial" w:eastAsia="Arial" w:hAnsi="Arial"/>
          <w:color w:val="2C3E50"/>
          <w:sz w:val="22"/>
          <w:szCs w:val="22"/>
        </w:rPr>
        <w:t xml:space="preserve">journal/ — Journal posting service with double-entry validation</w:t>
      </w:r>
    </w:p>
    <w:p>
      <w:pPr>
        <w:pStyle w:val="ListParagraph"/>
        <w:numPr>
          <w:ilvl w:val="0"/>
          <w:numId w:val="2"/>
        </w:numPr>
        <w:spacing w:after="60"/>
      </w:pPr>
      <w:r>
        <w:rPr>
          <w:rFonts w:ascii="Arial" w:cs="Arial" w:eastAsia="Arial" w:hAnsi="Arial"/>
          <w:color w:val="2C3E50"/>
          <w:sz w:val="22"/>
          <w:szCs w:val="22"/>
        </w:rPr>
        <w:t xml:space="preserve">ledger/ — Ledger query service</w:t>
      </w:r>
    </w:p>
    <w:p>
      <w:pPr>
        <w:pStyle w:val="ListParagraph"/>
        <w:numPr>
          <w:ilvl w:val="0"/>
          <w:numId w:val="2"/>
        </w:numPr>
        <w:spacing w:after="60"/>
      </w:pPr>
      <w:r>
        <w:rPr>
          <w:rFonts w:ascii="Arial" w:cs="Arial" w:eastAsia="Arial" w:hAnsi="Arial"/>
          <w:color w:val="2C3E50"/>
          <w:sz w:val="22"/>
          <w:szCs w:val="22"/>
        </w:rPr>
        <w:t xml:space="preserve">reports/ — All financial reports (Trial Balance, P&amp;L, BS, Cash Flow, AR, AP)</w:t>
      </w:r>
    </w:p>
    <w:p>
      <w:pPr>
        <w:pStyle w:val="ListParagraph"/>
        <w:numPr>
          <w:ilvl w:val="0"/>
          <w:numId w:val="2"/>
        </w:numPr>
        <w:spacing w:after="60"/>
      </w:pPr>
      <w:r>
        <w:rPr>
          <w:rFonts w:ascii="Arial" w:cs="Arial" w:eastAsia="Arial" w:hAnsi="Arial"/>
          <w:color w:val="2C3E50"/>
          <w:sz w:val="22"/>
          <w:szCs w:val="22"/>
        </w:rPr>
        <w:t xml:space="preserve">coa/ — Chart of Accounts wizard: source import, mapping, approval</w:t>
      </w:r>
    </w:p>
    <w:p>
      <w:pPr>
        <w:spacing w:after="100"/>
      </w:pPr>
      <w:r>
        <w:rPr>
          <w:rFonts w:ascii="Arial" w:cs="Arial" w:eastAsia="Arial" w:hAnsi="Arial"/>
          <w:b/>
          <w:bCs/>
          <w:i w:val="false"/>
          <w:iCs w:val="false"/>
          <w:color w:val="2C3E50"/>
          <w:sz w:val="22"/>
          <w:szCs w:val="22"/>
        </w:rPr>
        <w:t xml:space="preserve">app/modules/ — Industry-specific bounded contexts (MongoDB domain data)</w:t>
      </w:r>
    </w:p>
    <w:p>
      <w:pPr>
        <w:pStyle w:val="ListParagraph"/>
        <w:numPr>
          <w:ilvl w:val="0"/>
          <w:numId w:val="2"/>
        </w:numPr>
        <w:spacing w:after="60"/>
      </w:pPr>
      <w:r>
        <w:rPr>
          <w:rFonts w:ascii="Arial" w:cs="Arial" w:eastAsia="Arial" w:hAnsi="Arial"/>
          <w:color w:val="2C3E50"/>
          <w:sz w:val="22"/>
          <w:szCs w:val="22"/>
        </w:rPr>
        <w:t xml:space="preserve">temple/ — Donations, sevas, hundi, festivals, devotees</w:t>
      </w:r>
    </w:p>
    <w:p>
      <w:pPr>
        <w:pStyle w:val="ListParagraph"/>
        <w:numPr>
          <w:ilvl w:val="0"/>
          <w:numId w:val="2"/>
        </w:numPr>
        <w:spacing w:after="60"/>
      </w:pPr>
      <w:r>
        <w:rPr>
          <w:rFonts w:ascii="Arial" w:cs="Arial" w:eastAsia="Arial" w:hAnsi="Arial"/>
          <w:color w:val="2C3E50"/>
          <w:sz w:val="22"/>
          <w:szCs w:val="22"/>
        </w:rPr>
        <w:t xml:space="preserve">housing/ — Flats, residents, maintenance billing, complaints</w:t>
      </w:r>
    </w:p>
    <w:p>
      <w:pPr>
        <w:pStyle w:val="ListParagraph"/>
        <w:numPr>
          <w:ilvl w:val="0"/>
          <w:numId w:val="2"/>
        </w:numPr>
        <w:spacing w:after="60"/>
      </w:pPr>
      <w:r>
        <w:rPr>
          <w:rFonts w:ascii="Arial" w:cs="Arial" w:eastAsia="Arial" w:hAnsi="Arial"/>
          <w:color w:val="2C3E50"/>
          <w:sz w:val="22"/>
          <w:szCs w:val="22"/>
        </w:rPr>
        <w:t xml:space="preserve">legal/ — Cases, documents, RAG, compliance calendar</w:t>
      </w:r>
    </w:p>
    <w:p>
      <w:pPr>
        <w:pStyle w:val="ListParagraph"/>
        <w:numPr>
          <w:ilvl w:val="0"/>
          <w:numId w:val="2"/>
        </w:numPr>
        <w:spacing w:after="60"/>
      </w:pPr>
      <w:r>
        <w:rPr>
          <w:rFonts w:ascii="Arial" w:cs="Arial" w:eastAsia="Arial" w:hAnsi="Arial"/>
          <w:color w:val="2C3E50"/>
          <w:sz w:val="22"/>
          <w:szCs w:val="22"/>
        </w:rPr>
        <w:t xml:space="preserve">investment/ — Holdings, asset classes, portfolio analytics</w:t>
      </w:r>
    </w:p>
    <w:p>
      <w:pPr>
        <w:pStyle w:val="ListParagraph"/>
        <w:numPr>
          <w:ilvl w:val="0"/>
          <w:numId w:val="2"/>
        </w:numPr>
        <w:spacing w:after="60"/>
      </w:pPr>
      <w:r>
        <w:rPr>
          <w:rFonts w:ascii="Arial" w:cs="Arial" w:eastAsia="Arial" w:hAnsi="Arial"/>
          <w:color w:val="2C3E50"/>
          <w:sz w:val="22"/>
          <w:szCs w:val="22"/>
        </w:rPr>
        <w:t xml:space="preserve">business/ — Customers, vendors, invoices, inventory (in progress)</w:t>
      </w:r>
    </w:p>
    <w:p>
      <w:pPr>
        <w:spacing w:after="100"/>
      </w:pPr>
      <w:r>
        <w:rPr>
          <w:rFonts w:ascii="Arial" w:cs="Arial" w:eastAsia="Arial" w:hAnsi="Arial"/>
          <w:b/>
          <w:bCs/>
          <w:i w:val="false"/>
          <w:iCs w:val="false"/>
          <w:color w:val="2C3E50"/>
          <w:sz w:val="22"/>
          <w:szCs w:val="22"/>
        </w:rPr>
        <w:t xml:space="preserve">app/ai/ — AI and RAG layer (Phase 2)</w:t>
      </w:r>
    </w:p>
    <w:p>
      <w:pPr>
        <w:pStyle w:val="ListParagraph"/>
        <w:numPr>
          <w:ilvl w:val="0"/>
          <w:numId w:val="2"/>
        </w:numPr>
        <w:spacing w:after="60"/>
      </w:pPr>
      <w:r>
        <w:rPr>
          <w:rFonts w:ascii="Arial" w:cs="Arial" w:eastAsia="Arial" w:hAnsi="Arial"/>
          <w:color w:val="2C3E50"/>
          <w:sz w:val="22"/>
          <w:szCs w:val="22"/>
        </w:rPr>
        <w:t xml:space="preserve">rag/ — Document ingestion, hybrid retrieval, citation generation</w:t>
      </w:r>
    </w:p>
    <w:p>
      <w:pPr>
        <w:pStyle w:val="ListParagraph"/>
        <w:numPr>
          <w:ilvl w:val="0"/>
          <w:numId w:val="2"/>
        </w:numPr>
        <w:spacing w:after="60"/>
      </w:pPr>
      <w:r>
        <w:rPr>
          <w:rFonts w:ascii="Arial" w:cs="Arial" w:eastAsia="Arial" w:hAnsi="Arial"/>
          <w:color w:val="2C3E50"/>
          <w:sz w:val="22"/>
          <w:szCs w:val="22"/>
        </w:rPr>
        <w:t xml:space="preserve">insights/ — AI MIS, anomaly detection, forecasting</w:t>
      </w:r>
    </w:p>
    <w:p>
      <w:pPr>
        <w:pStyle w:val="Heading2"/>
        <w:spacing w:after="80" w:before="240"/>
      </w:pPr>
      <w:r>
        <w:rPr>
          <w:rFonts w:ascii="Arial" w:cs="Arial" w:eastAsia="Arial" w:hAnsi="Arial"/>
          <w:b/>
          <w:bCs/>
          <w:color w:val="2E86C1"/>
          <w:sz w:val="28"/>
          <w:szCs w:val="28"/>
        </w:rPr>
        <w:t xml:space="preserve">Database Strategy</w:t>
      </w:r>
    </w:p>
    <w:p>
      <w:pPr>
        <w:pStyle w:val="Heading3"/>
        <w:spacing w:after="60" w:before="160"/>
      </w:pPr>
      <w:r>
        <w:rPr>
          <w:rFonts w:ascii="Arial" w:cs="Arial" w:eastAsia="Arial" w:hAnsi="Arial"/>
          <w:b/>
          <w:bCs/>
          <w:color w:val="2C3E50"/>
          <w:sz w:val="24"/>
          <w:szCs w:val="24"/>
        </w:rPr>
        <w:t xml:space="preserve">PostgreSQL — Accounting Engine</w:t>
      </w:r>
    </w:p>
    <w:p>
      <w:pPr>
        <w:spacing w:after="100"/>
      </w:pPr>
      <w:r>
        <w:rPr>
          <w:rFonts w:ascii="Arial" w:cs="Arial" w:eastAsia="Arial" w:hAnsi="Arial"/>
          <w:b w:val="false"/>
          <w:bCs w:val="false"/>
          <w:i w:val="false"/>
          <w:iCs w:val="false"/>
          <w:color w:val="2C3E50"/>
          <w:sz w:val="22"/>
          <w:szCs w:val="22"/>
        </w:rPr>
        <w:t xml:space="preserve">Stores all financial data. Mission-critical. Schema-managed via Alembic. Tables: accounts, journal_entries, journal_lines. Every row carries tenant_id. Check constraints enforce double-entry invariants at the database level (not just application level).</w:t>
      </w:r>
    </w:p>
    <w:p>
      <w:pPr>
        <w:pStyle w:val="Heading3"/>
        <w:spacing w:after="60" w:before="160"/>
      </w:pPr>
      <w:r>
        <w:rPr>
          <w:rFonts w:ascii="Arial" w:cs="Arial" w:eastAsia="Arial" w:hAnsi="Arial"/>
          <w:b/>
          <w:bCs/>
          <w:color w:val="2C3E50"/>
          <w:sz w:val="24"/>
          <w:szCs w:val="24"/>
        </w:rPr>
        <w:t xml:space="preserve">MongoDB — Domain &amp; Operational Data</w:t>
      </w:r>
    </w:p>
    <w:p>
      <w:pPr>
        <w:spacing w:after="100"/>
      </w:pPr>
      <w:r>
        <w:rPr>
          <w:rFonts w:ascii="Arial" w:cs="Arial" w:eastAsia="Arial" w:hAnsi="Arial"/>
          <w:b w:val="false"/>
          <w:bCs w:val="false"/>
          <w:i w:val="false"/>
          <w:iCs w:val="false"/>
          <w:color w:val="2C3E50"/>
          <w:sz w:val="22"/>
          <w:szCs w:val="22"/>
        </w:rPr>
        <w:t xml:space="preserve">Stores all non-financial domain data: users, tenants, residents, devotees, cases, holdings, complaints, audit logs, CRM. Schema-flexible for domain evolution without migrations.</w:t>
      </w:r>
    </w:p>
    <w:p>
      <w:pPr>
        <w:pStyle w:val="Heading2"/>
        <w:spacing w:after="80" w:before="240"/>
      </w:pPr>
      <w:r>
        <w:rPr>
          <w:rFonts w:ascii="Arial" w:cs="Arial" w:eastAsia="Arial" w:hAnsi="Arial"/>
          <w:b/>
          <w:bCs/>
          <w:color w:val="2E86C1"/>
          <w:sz w:val="28"/>
          <w:szCs w:val="28"/>
        </w:rPr>
        <w:t xml:space="preserve">Request Flow</w:t>
      </w:r>
    </w:p>
    <w:p>
      <w:pPr>
        <w:spacing w:after="100"/>
      </w:pPr>
      <w:r>
        <w:rPr>
          <w:rFonts w:ascii="Arial" w:cs="Arial" w:eastAsia="Arial" w:hAnsi="Arial"/>
          <w:b w:val="false"/>
          <w:bCs w:val="false"/>
          <w:i w:val="false"/>
          <w:iCs w:val="false"/>
          <w:color w:val="2C3E50"/>
          <w:sz w:val="22"/>
          <w:szCs w:val="22"/>
        </w:rPr>
        <w:t xml:space="preserve">1. Client sends request with Authorization: Bearer &lt;JWT&gt; and X-App-Key: &lt;app_key&gt;</w:t>
      </w:r>
    </w:p>
    <w:p>
      <w:pPr>
        <w:spacing w:after="100"/>
      </w:pPr>
      <w:r>
        <w:rPr>
          <w:rFonts w:ascii="Arial" w:cs="Arial" w:eastAsia="Arial" w:hAnsi="Arial"/>
          <w:b w:val="false"/>
          <w:bCs w:val="false"/>
          <w:i w:val="false"/>
          <w:iCs w:val="false"/>
          <w:color w:val="2C3E50"/>
          <w:sz w:val="22"/>
          <w:szCs w:val="22"/>
        </w:rPr>
        <w:t xml:space="preserve">2. Tenant middleware extracts tenant_id from JWT — never from request body</w:t>
      </w:r>
    </w:p>
    <w:p>
      <w:pPr>
        <w:spacing w:after="100"/>
      </w:pPr>
      <w:r>
        <w:rPr>
          <w:rFonts w:ascii="Arial" w:cs="Arial" w:eastAsia="Arial" w:hAnsi="Arial"/>
          <w:b w:val="false"/>
          <w:bCs w:val="false"/>
          <w:i w:val="false"/>
          <w:iCs w:val="false"/>
          <w:color w:val="2C3E50"/>
          <w:sz w:val="22"/>
          <w:szCs w:val="22"/>
        </w:rPr>
        <w:t xml:space="preserve">3. RBAC guard verifies the user's role has permission for this endpoint</w:t>
      </w:r>
    </w:p>
    <w:p>
      <w:pPr>
        <w:spacing w:after="100"/>
      </w:pPr>
      <w:r>
        <w:rPr>
          <w:rFonts w:ascii="Arial" w:cs="Arial" w:eastAsia="Arial" w:hAnsi="Arial"/>
          <w:b w:val="false"/>
          <w:bCs w:val="false"/>
          <w:i w:val="false"/>
          <w:iCs w:val="false"/>
          <w:color w:val="2C3E50"/>
          <w:sz w:val="22"/>
          <w:szCs w:val="22"/>
        </w:rPr>
        <w:t xml:space="preserve">4. Module route handler processes business logic</w:t>
      </w:r>
    </w:p>
    <w:p>
      <w:pPr>
        <w:spacing w:after="100"/>
      </w:pPr>
      <w:r>
        <w:rPr>
          <w:rFonts w:ascii="Arial" w:cs="Arial" w:eastAsia="Arial" w:hAnsi="Arial"/>
          <w:b w:val="false"/>
          <w:bCs w:val="false"/>
          <w:i w:val="false"/>
          <w:iCs w:val="false"/>
          <w:color w:val="2C3E50"/>
          <w:sz w:val="22"/>
          <w:szCs w:val="22"/>
        </w:rPr>
        <w:t xml:space="preserve">5. If accounting is involved: module calls accounting service via internal Python function (never HTTP)</w:t>
      </w:r>
    </w:p>
    <w:p>
      <w:pPr>
        <w:spacing w:after="100"/>
      </w:pPr>
      <w:r>
        <w:rPr>
          <w:rFonts w:ascii="Arial" w:cs="Arial" w:eastAsia="Arial" w:hAnsi="Arial"/>
          <w:b w:val="false"/>
          <w:bCs w:val="false"/>
          <w:i w:val="false"/>
          <w:iCs w:val="false"/>
          <w:color w:val="2C3E50"/>
          <w:sz w:val="22"/>
          <w:szCs w:val="22"/>
        </w:rPr>
        <w:t xml:space="preserve">6. Accounting service validates double-entry invariants and posts to PostgreSQL in a single transaction</w:t>
      </w:r>
    </w:p>
    <w:p>
      <w:pPr>
        <w:spacing w:after="100"/>
      </w:pPr>
      <w:r>
        <w:rPr>
          <w:rFonts w:ascii="Arial" w:cs="Arial" w:eastAsia="Arial" w:hAnsi="Arial"/>
          <w:b w:val="false"/>
          <w:bCs w:val="false"/>
          <w:i w:val="false"/>
          <w:iCs w:val="false"/>
          <w:color w:val="2C3E50"/>
          <w:sz w:val="22"/>
          <w:szCs w:val="22"/>
        </w:rPr>
        <w:t xml:space="preserve">7. Mongo audit log written on create/update/delete operations</w:t>
      </w:r>
    </w:p>
    <w:p>
      <w:pPr>
        <w:pStyle w:val="Heading2"/>
        <w:spacing w:after="80" w:before="240"/>
      </w:pPr>
      <w:r>
        <w:rPr>
          <w:rFonts w:ascii="Arial" w:cs="Arial" w:eastAsia="Arial" w:hAnsi="Arial"/>
          <w:b/>
          <w:bCs/>
          <w:color w:val="2E86C1"/>
          <w:sz w:val="28"/>
          <w:szCs w:val="28"/>
        </w:rPr>
        <w:t xml:space="preserve">Cross-DB Transaction Strategy</w:t>
      </w:r>
    </w:p>
    <w:p>
      <w:pPr>
        <w:spacing w:after="100"/>
      </w:pPr>
      <w:r>
        <w:rPr>
          <w:rFonts w:ascii="Arial" w:cs="Arial" w:eastAsia="Arial" w:hAnsi="Arial"/>
          <w:b w:val="false"/>
          <w:bCs w:val="false"/>
          <w:i w:val="false"/>
          <w:iCs w:val="false"/>
          <w:color w:val="2C3E50"/>
          <w:sz w:val="22"/>
          <w:szCs w:val="22"/>
        </w:rPr>
        <w:t xml:space="preserve">When a module action (e.g. temple donation) writes to both MongoDB and PostgreSQL, a compensating rollback pattern is used: MongoDB write happens first; if PostgreSQL journal posting fails, the Mongo write is reversed. This avoids distributed transactions while maintaining consistency.</w:t>
      </w:r>
    </w:p>
    <w:p>
      <w:pPr>
        <w:pStyle w:val="Heading2"/>
        <w:spacing w:after="80" w:before="240"/>
      </w:pPr>
      <w:r>
        <w:rPr>
          <w:rFonts w:ascii="Arial" w:cs="Arial" w:eastAsia="Arial" w:hAnsi="Arial"/>
          <w:b/>
          <w:bCs/>
          <w:color w:val="2E86C1"/>
          <w:sz w:val="28"/>
          <w:szCs w:val="28"/>
        </w:rPr>
        <w:t xml:space="preserve">Multi-Frontend Strategy</w:t>
      </w:r>
    </w:p>
    <w:p>
      <w:pPr>
        <w:spacing w:after="100"/>
      </w:pPr>
      <w:r>
        <w:rPr>
          <w:rFonts w:ascii="Arial" w:cs="Arial" w:eastAsia="Arial" w:hAnsi="Arial"/>
          <w:b w:val="false"/>
          <w:bCs w:val="false"/>
          <w:i w:val="false"/>
          <w:iCs w:val="false"/>
          <w:color w:val="2C3E50"/>
          <w:sz w:val="22"/>
          <w:szCs w:val="22"/>
        </w:rPr>
        <w:t xml:space="preserve">Each frontend passes X-App-Key on every request. The backend resolves this centrally in middleware and attaches it to the request context. The app_key is also embedded in JWT tokens so it persists across sessions. This design supports one unified React frontend (Phase 3) rendering modules dynamically based on organization_type and enabled_modules.</w:t>
      </w:r>
    </w:p>
    <w:p>
      <w:pPr>
        <w:pStyle w:val="Heading2"/>
        <w:spacing w:after="80" w:before="240"/>
      </w:pPr>
      <w:r>
        <w:rPr>
          <w:rFonts w:ascii="Arial" w:cs="Arial" w:eastAsia="Arial" w:hAnsi="Arial"/>
          <w:b/>
          <w:bCs/>
          <w:color w:val="2E86C1"/>
          <w:sz w:val="28"/>
          <w:szCs w:val="28"/>
        </w:rPr>
        <w:t xml:space="preserve">AI / RAG Architecture (Phase 2)</w:t>
      </w:r>
    </w:p>
    <w:p>
      <w:pPr>
        <w:pStyle w:val="ListParagraph"/>
        <w:numPr>
          <w:ilvl w:val="0"/>
          <w:numId w:val="2"/>
        </w:numPr>
        <w:spacing w:after="60"/>
      </w:pPr>
      <w:r>
        <w:rPr>
          <w:rFonts w:ascii="Arial" w:cs="Arial" w:eastAsia="Arial" w:hAnsi="Arial"/>
          <w:color w:val="2C3E50"/>
          <w:sz w:val="22"/>
          <w:szCs w:val="22"/>
        </w:rPr>
        <w:t xml:space="preserve">Document ingestion scoped by tenant_id and app_key</w:t>
      </w:r>
    </w:p>
    <w:p>
      <w:pPr>
        <w:pStyle w:val="ListParagraph"/>
        <w:numPr>
          <w:ilvl w:val="0"/>
          <w:numId w:val="2"/>
        </w:numPr>
        <w:spacing w:after="60"/>
      </w:pPr>
      <w:r>
        <w:rPr>
          <w:rFonts w:ascii="Arial" w:cs="Arial" w:eastAsia="Arial" w:hAnsi="Arial"/>
          <w:color w:val="2C3E50"/>
          <w:sz w:val="22"/>
          <w:szCs w:val="22"/>
        </w:rPr>
        <w:t xml:space="preserve">Hybrid retrieval: embedding similarity + keyword search</w:t>
      </w:r>
    </w:p>
    <w:p>
      <w:pPr>
        <w:pStyle w:val="ListParagraph"/>
        <w:numPr>
          <w:ilvl w:val="0"/>
          <w:numId w:val="2"/>
        </w:numPr>
        <w:spacing w:after="60"/>
      </w:pPr>
      <w:r>
        <w:rPr>
          <w:rFonts w:ascii="Arial" w:cs="Arial" w:eastAsia="Arial" w:hAnsi="Arial"/>
          <w:color w:val="2C3E50"/>
          <w:sz w:val="22"/>
          <w:szCs w:val="22"/>
        </w:rPr>
        <w:t xml:space="preserve">Supported embedding providers: Gemini, OpenAI, sentence-transformers</w:t>
      </w:r>
    </w:p>
    <w:p>
      <w:pPr>
        <w:pStyle w:val="ListParagraph"/>
        <w:numPr>
          <w:ilvl w:val="0"/>
          <w:numId w:val="2"/>
        </w:numPr>
        <w:spacing w:after="60"/>
      </w:pPr>
      <w:r>
        <w:rPr>
          <w:rFonts w:ascii="Arial" w:cs="Arial" w:eastAsia="Arial" w:hAnsi="Arial"/>
          <w:color w:val="2C3E50"/>
          <w:sz w:val="22"/>
          <w:szCs w:val="22"/>
        </w:rPr>
        <w:t xml:space="preserve">Legal metadata filtering: jurisdiction, court, act, section, date range</w:t>
      </w:r>
    </w:p>
    <w:p>
      <w:pPr>
        <w:pStyle w:val="ListParagraph"/>
        <w:numPr>
          <w:ilvl w:val="0"/>
          <w:numId w:val="2"/>
        </w:numPr>
        <w:spacing w:after="60"/>
      </w:pPr>
      <w:r>
        <w:rPr>
          <w:rFonts w:ascii="Arial" w:cs="Arial" w:eastAsia="Arial" w:hAnsi="Arial"/>
          <w:color w:val="2C3E50"/>
          <w:sz w:val="22"/>
          <w:szCs w:val="22"/>
        </w:rPr>
        <w:t xml:space="preserve">All AI insights derive from the unified GL — one AI layer serves all verticals</w:t>
      </w:r>
    </w:p>
    <w:p>
      <w:r>
        <w:br w:type="page"/>
      </w:r>
    </w:p>
    <w:p>
      <w:pPr>
        <w:spacing w:after="60" w:before="200"/>
      </w:pPr>
      <w:r>
        <w:rPr>
          <w:rFonts w:ascii="Arial" w:cs="Arial" w:eastAsia="Arial" w:hAnsi="Arial"/>
          <w:b/>
          <w:bCs/>
          <w:color w:val="1B4F8A"/>
          <w:sz w:val="48"/>
          <w:szCs w:val="48"/>
        </w:rPr>
        <w:t xml:space="preserve">4. Tenant Strategy</w:t>
      </w:r>
    </w:p>
    <w:p>
      <w:pPr>
        <w:spacing w:after="300"/>
      </w:pPr>
      <w:r>
        <w:rPr>
          <w:rFonts w:ascii="Arial" w:cs="Arial" w:eastAsia="Arial" w:hAnsi="Arial"/>
          <w:i/>
          <w:iCs/>
          <w:color w:val="7F8C8D"/>
          <w:sz w:val="24"/>
          <w:szCs w:val="24"/>
        </w:rPr>
        <w:t xml:space="preserve">Multi-Tenancy Design &amp; Isolation Rules</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Tenancy Model</w:t>
      </w:r>
    </w:p>
    <w:p>
      <w:pPr>
        <w:spacing w:after="100"/>
      </w:pPr>
      <w:r>
        <w:rPr>
          <w:rFonts w:ascii="Arial" w:cs="Arial" w:eastAsia="Arial" w:hAnsi="Arial"/>
          <w:b w:val="false"/>
          <w:bCs w:val="false"/>
          <w:i w:val="false"/>
          <w:iCs w:val="false"/>
          <w:color w:val="2C3E50"/>
          <w:sz w:val="22"/>
          <w:szCs w:val="22"/>
        </w:rPr>
        <w:t xml:space="preserve">SanMitra uses a shared-database, tenant-scoped isolation model. Every organization is a tenant. All data (both PostgreSQL and MongoDB) carries a tenant_id on every row/document. There are no separate schemas or databases per tenant.</w:t>
      </w:r>
    </w:p>
    <w:p>
      <w:pPr>
        <w:pStyle w:val="Heading2"/>
        <w:spacing w:after="80" w:before="240"/>
      </w:pPr>
      <w:r>
        <w:rPr>
          <w:rFonts w:ascii="Arial" w:cs="Arial" w:eastAsia="Arial" w:hAnsi="Arial"/>
          <w:b/>
          <w:bCs/>
          <w:color w:val="2E86C1"/>
          <w:sz w:val="28"/>
          <w:szCs w:val="28"/>
        </w:rPr>
        <w:t xml:space="preserve">Tenant Data Model</w:t>
      </w:r>
    </w:p>
    <w:p>
      <w:pPr>
        <w:pStyle w:val="Heading3"/>
        <w:spacing w:after="60" w:before="160"/>
      </w:pPr>
      <w:r>
        <w:rPr>
          <w:rFonts w:ascii="Arial" w:cs="Arial" w:eastAsia="Arial" w:hAnsi="Arial"/>
          <w:b/>
          <w:bCs/>
          <w:color w:val="2C3E50"/>
          <w:sz w:val="24"/>
          <w:szCs w:val="24"/>
        </w:rPr>
        <w:t xml:space="preserve">Core Tenant Fields (MongoDB: tenants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_id / tenant_id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 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 identifier, immutable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organization_name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Display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organization_type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HOUSING | TEMPLE | BUSINESS | PROFESSIONAL | LEGAL | INVESTMENT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app_keys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Which app keys this tenant can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subscription_plan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free | pro | elite | enterprise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enabled_modules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Active feature modules for this tenant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active | inactive | suspended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created_at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datetime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Immutable creation timestamp</w:t>
            </w:r>
          </w:p>
        </w:tc>
      </w:tr>
    </w:tbl>
    <w:p>
      <w:pPr>
        <w:spacing w:after="200"/>
      </w:pPr>
    </w:p>
    <w:p>
      <w:pPr>
        <w:pStyle w:val="Heading2"/>
        <w:spacing w:after="80" w:before="240"/>
      </w:pPr>
      <w:r>
        <w:rPr>
          <w:rFonts w:ascii="Arial" w:cs="Arial" w:eastAsia="Arial" w:hAnsi="Arial"/>
          <w:b/>
          <w:bCs/>
          <w:color w:val="2E86C1"/>
          <w:sz w:val="28"/>
          <w:szCs w:val="28"/>
        </w:rPr>
        <w:t xml:space="preserve">Organization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org_type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App Key</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Auto-Enabled Modules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HOUSING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gruhamitra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housing, accounting, audit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TEMPLE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mandirmitra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temple, accounting, audit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mitrabooks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business, accounting, gst, inventory, audit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PROFESSIONAL</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mitrabooks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professional, accounting, billing, audit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legalmitra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 rag, compliance, audit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INVESTMENT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investmitra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investment, portfolio, audit</w:t>
            </w:r>
          </w:p>
        </w:tc>
      </w:tr>
    </w:tbl>
    <w:p>
      <w:pPr>
        <w:spacing w:after="200"/>
      </w:pPr>
    </w:p>
    <w:p>
      <w:pPr>
        <w:pStyle w:val="Heading2"/>
        <w:spacing w:after="80" w:before="240"/>
      </w:pPr>
      <w:r>
        <w:rPr>
          <w:rFonts w:ascii="Arial" w:cs="Arial" w:eastAsia="Arial" w:hAnsi="Arial"/>
          <w:b/>
          <w:bCs/>
          <w:color w:val="2E86C1"/>
          <w:sz w:val="28"/>
          <w:szCs w:val="28"/>
        </w:rPr>
        <w:t xml:space="preserve">Tenant Isolation Rules</w:t>
      </w:r>
    </w:p>
    <w:p>
      <w:pPr>
        <w:spacing w:after="100"/>
      </w:pPr>
      <w:r>
        <w:rPr>
          <w:rFonts w:ascii="Arial" w:cs="Arial" w:eastAsia="Arial" w:hAnsi="Arial"/>
          <w:b/>
          <w:bCs/>
          <w:i w:val="false"/>
          <w:iCs w:val="false"/>
          <w:color w:val="2C3E50"/>
          <w:sz w:val="22"/>
          <w:szCs w:val="22"/>
        </w:rPr>
        <w:t xml:space="preserve">These are non-negotiable and enforced at every layer:</w:t>
      </w:r>
    </w:p>
    <w:p>
      <w:pPr>
        <w:pStyle w:val="ListParagraph"/>
        <w:numPr>
          <w:ilvl w:val="0"/>
          <w:numId w:val="2"/>
        </w:numPr>
        <w:spacing w:after="60"/>
      </w:pPr>
      <w:r>
        <w:rPr>
          <w:rFonts w:ascii="Arial" w:cs="Arial" w:eastAsia="Arial" w:hAnsi="Arial"/>
          <w:color w:val="2C3E50"/>
          <w:sz w:val="22"/>
          <w:szCs w:val="22"/>
        </w:rPr>
        <w:t xml:space="preserve">Rule 1: tenant_id is extracted from JWT only — never from client request body or query params</w:t>
      </w:r>
    </w:p>
    <w:p>
      <w:pPr>
        <w:pStyle w:val="ListParagraph"/>
        <w:numPr>
          <w:ilvl w:val="0"/>
          <w:numId w:val="2"/>
        </w:numPr>
        <w:spacing w:after="60"/>
      </w:pPr>
      <w:r>
        <w:rPr>
          <w:rFonts w:ascii="Arial" w:cs="Arial" w:eastAsia="Arial" w:hAnsi="Arial"/>
          <w:color w:val="2C3E50"/>
          <w:sz w:val="22"/>
          <w:szCs w:val="22"/>
        </w:rPr>
        <w:t xml:space="preserve">Rule 2: Every DB query (Mongo and PostgreSQL) must include a tenant_id filter</w:t>
      </w:r>
    </w:p>
    <w:p>
      <w:pPr>
        <w:pStyle w:val="ListParagraph"/>
        <w:numPr>
          <w:ilvl w:val="0"/>
          <w:numId w:val="2"/>
        </w:numPr>
        <w:spacing w:after="60"/>
      </w:pPr>
      <w:r>
        <w:rPr>
          <w:rFonts w:ascii="Arial" w:cs="Arial" w:eastAsia="Arial" w:hAnsi="Arial"/>
          <w:color w:val="2C3E50"/>
          <w:sz w:val="22"/>
          <w:szCs w:val="22"/>
        </w:rPr>
        <w:t xml:space="preserve">Rule 3: Inactive or suspended tenants are blocked at middleware — no route can be reached</w:t>
      </w:r>
    </w:p>
    <w:p>
      <w:pPr>
        <w:pStyle w:val="ListParagraph"/>
        <w:numPr>
          <w:ilvl w:val="0"/>
          <w:numId w:val="2"/>
        </w:numPr>
        <w:spacing w:after="60"/>
      </w:pPr>
      <w:r>
        <w:rPr>
          <w:rFonts w:ascii="Arial" w:cs="Arial" w:eastAsia="Arial" w:hAnsi="Arial"/>
          <w:color w:val="2C3E50"/>
          <w:sz w:val="22"/>
          <w:szCs w:val="22"/>
        </w:rPr>
        <w:t xml:space="preserve">Rule 4: Super-admin can override with X-Tenant-ID header for support operations</w:t>
      </w:r>
    </w:p>
    <w:p>
      <w:pPr>
        <w:pStyle w:val="ListParagraph"/>
        <w:numPr>
          <w:ilvl w:val="0"/>
          <w:numId w:val="2"/>
        </w:numPr>
        <w:spacing w:after="60"/>
      </w:pPr>
      <w:r>
        <w:rPr>
          <w:rFonts w:ascii="Arial" w:cs="Arial" w:eastAsia="Arial" w:hAnsi="Arial"/>
          <w:color w:val="2C3E50"/>
          <w:sz w:val="22"/>
          <w:szCs w:val="22"/>
        </w:rPr>
        <w:t xml:space="preserve">Rule 5: Accounting rows carry tenant_id with a NOT NULL constraint at DB level</w:t>
      </w:r>
    </w:p>
    <w:p>
      <w:pPr>
        <w:pStyle w:val="ListParagraph"/>
        <w:numPr>
          <w:ilvl w:val="0"/>
          <w:numId w:val="2"/>
        </w:numPr>
        <w:spacing w:after="60"/>
      </w:pPr>
      <w:r>
        <w:rPr>
          <w:rFonts w:ascii="Arial" w:cs="Arial" w:eastAsia="Arial" w:hAnsi="Arial"/>
          <w:color w:val="2C3E50"/>
          <w:sz w:val="22"/>
          <w:szCs w:val="22"/>
        </w:rPr>
        <w:t xml:space="preserve">Rule 6: Audit logs are tenant-scoped — one tenant can never see another's audit trail</w:t>
      </w:r>
    </w:p>
    <w:p>
      <w:pPr>
        <w:pStyle w:val="Heading2"/>
        <w:spacing w:after="80" w:before="240"/>
      </w:pPr>
      <w:r>
        <w:rPr>
          <w:rFonts w:ascii="Arial" w:cs="Arial" w:eastAsia="Arial" w:hAnsi="Arial"/>
          <w:b/>
          <w:bCs/>
          <w:color w:val="2E86C1"/>
          <w:sz w:val="28"/>
          <w:szCs w:val="28"/>
        </w:rPr>
        <w:t xml:space="preserve">Tenant Lifecycle</w:t>
      </w:r>
    </w:p>
    <w:p>
      <w:pPr>
        <w:pStyle w:val="Heading3"/>
        <w:spacing w:after="60" w:before="160"/>
      </w:pPr>
      <w:r>
        <w:rPr>
          <w:rFonts w:ascii="Arial" w:cs="Arial" w:eastAsia="Arial" w:hAnsi="Arial"/>
          <w:b/>
          <w:bCs/>
          <w:color w:val="2C3E50"/>
          <w:sz w:val="24"/>
          <w:szCs w:val="24"/>
        </w:rPr>
        <w:t xml:space="preserve">Onboarding Flow</w:t>
      </w:r>
    </w:p>
    <w:p>
      <w:pPr>
        <w:spacing w:after="100"/>
      </w:pPr>
      <w:r>
        <w:rPr>
          <w:rFonts w:ascii="Arial" w:cs="Arial" w:eastAsia="Arial" w:hAnsi="Arial"/>
          <w:b w:val="false"/>
          <w:bCs w:val="false"/>
          <w:i w:val="false"/>
          <w:iCs w:val="false"/>
          <w:color w:val="2C3E50"/>
          <w:sz w:val="22"/>
          <w:szCs w:val="22"/>
        </w:rPr>
        <w:t xml:space="preserve">1. Organization submits onboarding request (public endpoint — no auth required)</w:t>
      </w:r>
    </w:p>
    <w:p>
      <w:pPr>
        <w:spacing w:after="100"/>
      </w:pPr>
      <w:r>
        <w:rPr>
          <w:rFonts w:ascii="Arial" w:cs="Arial" w:eastAsia="Arial" w:hAnsi="Arial"/>
          <w:b w:val="false"/>
          <w:bCs w:val="false"/>
          <w:i w:val="false"/>
          <w:iCs w:val="false"/>
          <w:color w:val="2C3E50"/>
          <w:sz w:val="22"/>
          <w:szCs w:val="22"/>
        </w:rPr>
        <w:t xml:space="preserve">2. Super-admin reviews and approves via admin endpoint</w:t>
      </w:r>
    </w:p>
    <w:p>
      <w:pPr>
        <w:spacing w:after="100"/>
      </w:pPr>
      <w:r>
        <w:rPr>
          <w:rFonts w:ascii="Arial" w:cs="Arial" w:eastAsia="Arial" w:hAnsi="Arial"/>
          <w:b w:val="false"/>
          <w:bCs w:val="false"/>
          <w:i w:val="false"/>
          <w:iCs w:val="false"/>
          <w:color w:val="2C3E50"/>
          <w:sz w:val="22"/>
          <w:szCs w:val="22"/>
        </w:rPr>
        <w:t xml:space="preserve">3. On approval: tenant record created, tenant admin user created with temp password</w:t>
      </w:r>
    </w:p>
    <w:p>
      <w:pPr>
        <w:spacing w:after="100"/>
      </w:pPr>
      <w:r>
        <w:rPr>
          <w:rFonts w:ascii="Arial" w:cs="Arial" w:eastAsia="Arial" w:hAnsi="Arial"/>
          <w:b w:val="false"/>
          <w:bCs w:val="false"/>
          <w:i w:val="false"/>
          <w:iCs w:val="false"/>
          <w:color w:val="2C3E50"/>
          <w:sz w:val="22"/>
          <w:szCs w:val="22"/>
        </w:rPr>
        <w:t xml:space="preserve">4. Tenant admin logs in, changes password, configures COA mapping</w:t>
      </w:r>
    </w:p>
    <w:p>
      <w:pPr>
        <w:spacing w:after="100"/>
      </w:pPr>
      <w:r>
        <w:rPr>
          <w:rFonts w:ascii="Arial" w:cs="Arial" w:eastAsia="Arial" w:hAnsi="Arial"/>
          <w:b w:val="false"/>
          <w:bCs w:val="false"/>
          <w:i w:val="false"/>
          <w:iCs w:val="false"/>
          <w:color w:val="2C3E50"/>
          <w:sz w:val="22"/>
          <w:szCs w:val="22"/>
        </w:rPr>
        <w:t xml:space="preserve">5. Tenant is now active and operational</w:t>
      </w:r>
    </w:p>
    <w:p>
      <w:pPr>
        <w:pStyle w:val="Heading3"/>
        <w:spacing w:after="60" w:before="160"/>
      </w:pPr>
      <w:r>
        <w:rPr>
          <w:rFonts w:ascii="Arial" w:cs="Arial" w:eastAsia="Arial" w:hAnsi="Arial"/>
          <w:b/>
          <w:bCs/>
          <w:color w:val="2C3E50"/>
          <w:sz w:val="24"/>
          <w:szCs w:val="24"/>
        </w:rPr>
        <w:t xml:space="preserve">Offboarding / Suspension</w:t>
      </w:r>
    </w:p>
    <w:p>
      <w:pPr>
        <w:pStyle w:val="ListParagraph"/>
        <w:numPr>
          <w:ilvl w:val="0"/>
          <w:numId w:val="2"/>
        </w:numPr>
        <w:spacing w:after="60"/>
      </w:pPr>
      <w:r>
        <w:rPr>
          <w:rFonts w:ascii="Arial" w:cs="Arial" w:eastAsia="Arial" w:hAnsi="Arial"/>
          <w:color w:val="2C3E50"/>
          <w:sz w:val="22"/>
          <w:szCs w:val="22"/>
        </w:rPr>
        <w:t xml:space="preserve">Status set to inactive/suspended — all API access blocked immediately</w:t>
      </w:r>
    </w:p>
    <w:p>
      <w:pPr>
        <w:pStyle w:val="ListParagraph"/>
        <w:numPr>
          <w:ilvl w:val="0"/>
          <w:numId w:val="2"/>
        </w:numPr>
        <w:spacing w:after="60"/>
      </w:pPr>
      <w:r>
        <w:rPr>
          <w:rFonts w:ascii="Arial" w:cs="Arial" w:eastAsia="Arial" w:hAnsi="Arial"/>
          <w:color w:val="2C3E50"/>
          <w:sz w:val="22"/>
          <w:szCs w:val="22"/>
        </w:rPr>
        <w:t xml:space="preserve">Data retained indefinitely (accounting data never deleted per compliance requirement)</w:t>
      </w:r>
    </w:p>
    <w:p>
      <w:pPr>
        <w:pStyle w:val="ListParagraph"/>
        <w:numPr>
          <w:ilvl w:val="0"/>
          <w:numId w:val="2"/>
        </w:numPr>
        <w:spacing w:after="60"/>
      </w:pPr>
      <w:r>
        <w:rPr>
          <w:rFonts w:ascii="Arial" w:cs="Arial" w:eastAsia="Arial" w:hAnsi="Arial"/>
          <w:color w:val="2C3E50"/>
          <w:sz w:val="22"/>
          <w:szCs w:val="22"/>
        </w:rPr>
        <w:t xml:space="preserve">Reactivation: super-admin sets status back to active</w:t>
      </w:r>
    </w:p>
    <w:p>
      <w:pPr>
        <w:pStyle w:val="Heading2"/>
        <w:spacing w:after="80" w:before="240"/>
      </w:pPr>
      <w:r>
        <w:rPr>
          <w:rFonts w:ascii="Arial" w:cs="Arial" w:eastAsia="Arial" w:hAnsi="Arial"/>
          <w:b/>
          <w:bCs/>
          <w:color w:val="2E86C1"/>
          <w:sz w:val="28"/>
          <w:szCs w:val="28"/>
        </w:rPr>
        <w:t xml:space="preserve">RBAC —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c>
          <w:tcPr>
            <w:tcW w:type="dxa" w:w="6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Permissions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super_admin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All tenants, all operations, tenant lifecycle management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tenant_admin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All operations within own tenant, user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accountant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Full accounting operations: post journals, run reports, manage COA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operator</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Module-specific operations (e.g. record donation, raise maintenance bill)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viewer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Read-only access to reports and dashboards</w:t>
            </w:r>
          </w:p>
        </w:tc>
      </w:tr>
    </w:tbl>
    <w:p>
      <w:pPr>
        <w:spacing w:after="200"/>
      </w:pPr>
    </w:p>
    <w:p>
      <w:pPr>
        <w:spacing w:after="80" w:before="80"/>
        <w:ind w:left="360"/>
      </w:pPr>
      <w:r>
        <w:rPr>
          <w:rFonts w:ascii="Arial" w:cs="Arial" w:eastAsia="Arial" w:hAnsi="Arial"/>
          <w:i/>
          <w:iCs/>
          <w:color w:val="5D6D7E"/>
          <w:sz w:val="20"/>
          <w:szCs w:val="20"/>
        </w:rPr>
        <w:t xml:space="preserve">💡 RBAC is enforced at three levels: API route (decorator), module route (middleware), and feature flag (subscription plan check).</w:t>
      </w:r>
    </w:p>
    <w:p>
      <w:r>
        <w:br w:type="page"/>
      </w:r>
    </w:p>
    <w:p>
      <w:pPr>
        <w:spacing w:after="60" w:before="200"/>
      </w:pPr>
      <w:r>
        <w:rPr>
          <w:rFonts w:ascii="Arial" w:cs="Arial" w:eastAsia="Arial" w:hAnsi="Arial"/>
          <w:b/>
          <w:bCs/>
          <w:color w:val="1B4F8A"/>
          <w:sz w:val="48"/>
          <w:szCs w:val="48"/>
        </w:rPr>
        <w:t xml:space="preserve">5. Module Strategy</w:t>
      </w:r>
    </w:p>
    <w:p>
      <w:pPr>
        <w:spacing w:after="300"/>
      </w:pPr>
      <w:r>
        <w:rPr>
          <w:rFonts w:ascii="Arial" w:cs="Arial" w:eastAsia="Arial" w:hAnsi="Arial"/>
          <w:i/>
          <w:iCs/>
          <w:color w:val="7F8C8D"/>
          <w:sz w:val="24"/>
          <w:szCs w:val="24"/>
        </w:rPr>
        <w:t xml:space="preserve">Pluggable Architecture &amp; Module Registry</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Module Architecture Philosophy</w:t>
      </w:r>
    </w:p>
    <w:p>
      <w:pPr>
        <w:spacing w:after="100"/>
      </w:pPr>
      <w:r>
        <w:rPr>
          <w:rFonts w:ascii="Arial" w:cs="Arial" w:eastAsia="Arial" w:hAnsi="Arial"/>
          <w:b w:val="false"/>
          <w:bCs w:val="false"/>
          <w:i w:val="false"/>
          <w:iCs w:val="false"/>
          <w:color w:val="2C3E50"/>
          <w:sz w:val="22"/>
          <w:szCs w:val="22"/>
        </w:rPr>
        <w:t xml:space="preserve">Every module in SanMitra follows the same pattern: domain data lives in MongoDB, financial postings go through the shared accounting engine in PostgreSQL. A module never has its own accounting logic — it calls app.accounting.journal.service.post_journal_entry() as an internal Python function.</w:t>
      </w:r>
    </w:p>
    <w:p>
      <w:pPr>
        <w:pStyle w:val="Heading2"/>
        <w:spacing w:after="80" w:before="240"/>
      </w:pPr>
      <w:r>
        <w:rPr>
          <w:rFonts w:ascii="Arial" w:cs="Arial" w:eastAsia="Arial" w:hAnsi="Arial"/>
          <w:b/>
          <w:bCs/>
          <w:color w:val="2E86C1"/>
          <w:sz w:val="28"/>
          <w:szCs w:val="28"/>
        </w:rPr>
        <w:t xml:space="preserve">Module Registry</w:t>
      </w:r>
    </w:p>
    <w:p>
      <w:pPr>
        <w:spacing w:after="100"/>
      </w:pPr>
      <w:r>
        <w:rPr>
          <w:rFonts w:ascii="Arial" w:cs="Arial" w:eastAsia="Arial" w:hAnsi="Arial"/>
          <w:b w:val="false"/>
          <w:bCs w:val="false"/>
          <w:i w:val="false"/>
          <w:iCs w:val="false"/>
          <w:color w:val="2C3E50"/>
          <w:sz w:val="22"/>
          <w:szCs w:val="22"/>
        </w:rPr>
        <w:t xml:space="preserve">The module registry is the source of truth for which modules exist, what org_types they serve, and what subscription plan they require. When a tenant logs in, their enabled_modules list (derived from org_type + subscription_plan) controls what the API and frontend expose.</w:t>
      </w:r>
    </w:p>
    <w:p>
      <w:pPr>
        <w:pStyle w:val="Heading2"/>
        <w:spacing w:after="80" w:before="240"/>
      </w:pPr>
      <w:r>
        <w:rPr>
          <w:rFonts w:ascii="Arial" w:cs="Arial" w:eastAsia="Arial" w:hAnsi="Arial"/>
          <w:b/>
          <w:bCs/>
          <w:color w:val="2E86C1"/>
          <w:sz w:val="28"/>
          <w:szCs w:val="28"/>
        </w:rPr>
        <w:t xml:space="preserve">Module Catalogue</w:t>
      </w:r>
    </w:p>
    <w:p>
      <w:pPr>
        <w:pStyle w:val="Heading3"/>
        <w:spacing w:after="60" w:before="160"/>
      </w:pPr>
      <w:r>
        <w:rPr>
          <w:rFonts w:ascii="Arial" w:cs="Arial" w:eastAsia="Arial" w:hAnsi="Arial"/>
          <w:b/>
          <w:bCs/>
          <w:color w:val="2C3E50"/>
          <w:sz w:val="24"/>
          <w:szCs w:val="24"/>
        </w:rPr>
        <w:t xml:space="preserve">Core Module (Always Active)</w:t>
      </w:r>
    </w:p>
    <w:p>
      <w:pPr>
        <w:pStyle w:val="ListParagraph"/>
        <w:numPr>
          <w:ilvl w:val="0"/>
          <w:numId w:val="2"/>
        </w:numPr>
        <w:spacing w:after="60"/>
      </w:pPr>
      <w:r>
        <w:rPr>
          <w:rFonts w:ascii="Arial" w:cs="Arial" w:eastAsia="Arial" w:hAnsi="Arial"/>
          <w:color w:val="2C3E50"/>
          <w:sz w:val="22"/>
          <w:szCs w:val="22"/>
        </w:rPr>
        <w:t xml:space="preserve">auth — Authentication, JWT, token rotation</w:t>
      </w:r>
    </w:p>
    <w:p>
      <w:pPr>
        <w:pStyle w:val="ListParagraph"/>
        <w:numPr>
          <w:ilvl w:val="0"/>
          <w:numId w:val="2"/>
        </w:numPr>
        <w:spacing w:after="60"/>
      </w:pPr>
      <w:r>
        <w:rPr>
          <w:rFonts w:ascii="Arial" w:cs="Arial" w:eastAsia="Arial" w:hAnsi="Arial"/>
          <w:color w:val="2C3E50"/>
          <w:sz w:val="22"/>
          <w:szCs w:val="22"/>
        </w:rPr>
        <w:t xml:space="preserve">tenants — Tenant lifecycle and context</w:t>
      </w:r>
    </w:p>
    <w:p>
      <w:pPr>
        <w:pStyle w:val="ListParagraph"/>
        <w:numPr>
          <w:ilvl w:val="0"/>
          <w:numId w:val="2"/>
        </w:numPr>
        <w:spacing w:after="60"/>
      </w:pPr>
      <w:r>
        <w:rPr>
          <w:rFonts w:ascii="Arial" w:cs="Arial" w:eastAsia="Arial" w:hAnsi="Arial"/>
          <w:color w:val="2C3E50"/>
          <w:sz w:val="22"/>
          <w:szCs w:val="22"/>
        </w:rPr>
        <w:t xml:space="preserve">users — User management</w:t>
      </w:r>
    </w:p>
    <w:p>
      <w:pPr>
        <w:pStyle w:val="ListParagraph"/>
        <w:numPr>
          <w:ilvl w:val="0"/>
          <w:numId w:val="2"/>
        </w:numPr>
        <w:spacing w:after="60"/>
      </w:pPr>
      <w:r>
        <w:rPr>
          <w:rFonts w:ascii="Arial" w:cs="Arial" w:eastAsia="Arial" w:hAnsi="Arial"/>
          <w:color w:val="2C3E50"/>
          <w:sz w:val="22"/>
          <w:szCs w:val="22"/>
        </w:rPr>
        <w:t xml:space="preserve">audit — Immutable audit trail</w:t>
      </w:r>
    </w:p>
    <w:p>
      <w:pPr>
        <w:pStyle w:val="ListParagraph"/>
        <w:numPr>
          <w:ilvl w:val="0"/>
          <w:numId w:val="2"/>
        </w:numPr>
        <w:spacing w:after="60"/>
      </w:pPr>
      <w:r>
        <w:rPr>
          <w:rFonts w:ascii="Arial" w:cs="Arial" w:eastAsia="Arial" w:hAnsi="Arial"/>
          <w:color w:val="2C3E50"/>
          <w:sz w:val="22"/>
          <w:szCs w:val="22"/>
        </w:rPr>
        <w:t xml:space="preserve">accounting — Core double-entry engine (always active for all org types)</w:t>
      </w:r>
    </w:p>
    <w:p>
      <w:pPr>
        <w:pStyle w:val="ListParagraph"/>
        <w:numPr>
          <w:ilvl w:val="0"/>
          <w:numId w:val="2"/>
        </w:numPr>
        <w:spacing w:after="60"/>
      </w:pPr>
      <w:r>
        <w:rPr>
          <w:rFonts w:ascii="Arial" w:cs="Arial" w:eastAsia="Arial" w:hAnsi="Arial"/>
          <w:color w:val="2C3E50"/>
          <w:sz w:val="22"/>
          <w:szCs w:val="22"/>
        </w:rPr>
        <w:t xml:space="preserve">notifications — Notification dispatch</w:t>
      </w:r>
    </w:p>
    <w:p>
      <w:pPr>
        <w:pStyle w:val="Heading3"/>
        <w:spacing w:after="60" w:before="160"/>
      </w:pPr>
      <w:r>
        <w:rPr>
          <w:rFonts w:ascii="Arial" w:cs="Arial" w:eastAsia="Arial" w:hAnsi="Arial"/>
          <w:b/>
          <w:bCs/>
          <w:color w:val="2C3E50"/>
          <w:sz w:val="24"/>
          <w:szCs w:val="24"/>
        </w:rPr>
        <w:t xml:space="preserve">Housing Module (org_type: HOUSING)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Flat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Flat registry, tower/block structure, ownership history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Resident Management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Resident profiles, move-in/out tracking, family members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Maintenance Billing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Flexible billing cycles, auto-generation, receipt on payment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Complaints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Raise, assign, track, close service requests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Parking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Slot allocation, visitor parking, monthly tracking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Vendor Payments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Vendor master, payment recording, posting to GL</w:t>
            </w:r>
          </w:p>
        </w:tc>
      </w:tr>
    </w:tbl>
    <w:p>
      <w:pPr>
        <w:spacing w:after="200"/>
      </w:pPr>
    </w:p>
    <w:p>
      <w:pPr>
        <w:pStyle w:val="Heading3"/>
        <w:spacing w:after="60" w:before="160"/>
      </w:pPr>
      <w:r>
        <w:rPr>
          <w:rFonts w:ascii="Arial" w:cs="Arial" w:eastAsia="Arial" w:hAnsi="Arial"/>
          <w:b/>
          <w:bCs/>
          <w:color w:val="2C3E50"/>
          <w:sz w:val="24"/>
          <w:szCs w:val="24"/>
        </w:rPr>
        <w:t xml:space="preserve">Temple Module (org_type: TEMPLE)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Donations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Record donations, generate receipts, 80G certificates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Hundi Collection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Daily hundi counting, multi-counter reconciliation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Seva Booking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Seva catalogue, slot booking, advance collection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Trust Accounting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Corpus fund, endowment tracking, trust-specific reports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Festival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Festival calendar, expense budgeting, actual vs budget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Devotee Database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Devotee registration, donation history, communication</w:t>
            </w:r>
          </w:p>
        </w:tc>
      </w:tr>
    </w:tbl>
    <w:p>
      <w:pPr>
        <w:spacing w:after="200"/>
      </w:pPr>
    </w:p>
    <w:p>
      <w:pPr>
        <w:pStyle w:val="Heading3"/>
        <w:spacing w:after="60" w:before="160"/>
      </w:pPr>
      <w:r>
        <w:rPr>
          <w:rFonts w:ascii="Arial" w:cs="Arial" w:eastAsia="Arial" w:hAnsi="Arial"/>
          <w:b/>
          <w:bCs/>
          <w:color w:val="2C3E50"/>
          <w:sz w:val="24"/>
          <w:szCs w:val="24"/>
        </w:rPr>
        <w:t xml:space="preserve">Business Module (org_type: BUSINESS /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GST Invoicing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B2B/B2C invoice generation, GSTR-1/3B auto-population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Purchase Management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 creation, GRN, vendor invoice matching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Inventory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Stock master, movements, low-stock alerts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Payroll</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Employee master, salary computation, PF/ESI deduction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Customer profiles, follow-ups, outstanding AR tracking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MIS Dashboard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Revenue, expense, profitability — AI-summarised (Phase 2)</w:t>
            </w:r>
          </w:p>
        </w:tc>
      </w:tr>
    </w:tbl>
    <w:p>
      <w:pPr>
        <w:spacing w:after="200"/>
      </w:pPr>
    </w:p>
    <w:p>
      <w:pPr>
        <w:pStyle w:val="Heading2"/>
        <w:spacing w:after="80" w:before="240"/>
      </w:pPr>
      <w:r>
        <w:rPr>
          <w:rFonts w:ascii="Arial" w:cs="Arial" w:eastAsia="Arial" w:hAnsi="Arial"/>
          <w:b/>
          <w:bCs/>
          <w:color w:val="2E86C1"/>
          <w:sz w:val="28"/>
          <w:szCs w:val="28"/>
        </w:rPr>
        <w:t xml:space="preserve">Adding a New Module — Checklist</w:t>
      </w:r>
    </w:p>
    <w:p>
      <w:pPr>
        <w:pStyle w:val="ListParagraph"/>
        <w:numPr>
          <w:ilvl w:val="0"/>
          <w:numId w:val="2"/>
        </w:numPr>
        <w:spacing w:after="60"/>
      </w:pPr>
      <w:r>
        <w:rPr>
          <w:rFonts w:ascii="Arial" w:cs="Arial" w:eastAsia="Arial" w:hAnsi="Arial"/>
          <w:color w:val="2C3E50"/>
          <w:sz w:val="22"/>
          <w:szCs w:val="22"/>
        </w:rPr>
        <w:t xml:space="preserve">1. Create app/modules/&lt;module_name&gt;/ directory</w:t>
      </w:r>
    </w:p>
    <w:p>
      <w:pPr>
        <w:pStyle w:val="ListParagraph"/>
        <w:numPr>
          <w:ilvl w:val="0"/>
          <w:numId w:val="2"/>
        </w:numPr>
        <w:spacing w:after="60"/>
      </w:pPr>
      <w:r>
        <w:rPr>
          <w:rFonts w:ascii="Arial" w:cs="Arial" w:eastAsia="Arial" w:hAnsi="Arial"/>
          <w:color w:val="2C3E50"/>
          <w:sz w:val="22"/>
          <w:szCs w:val="22"/>
        </w:rPr>
        <w:t xml:space="preserve">2. Add MongoDB domain models (Pydantic + Motor)</w:t>
      </w:r>
    </w:p>
    <w:p>
      <w:pPr>
        <w:pStyle w:val="ListParagraph"/>
        <w:numPr>
          <w:ilvl w:val="0"/>
          <w:numId w:val="2"/>
        </w:numPr>
        <w:spacing w:after="60"/>
      </w:pPr>
      <w:r>
        <w:rPr>
          <w:rFonts w:ascii="Arial" w:cs="Arial" w:eastAsia="Arial" w:hAnsi="Arial"/>
          <w:color w:val="2C3E50"/>
          <w:sz w:val="22"/>
          <w:szCs w:val="22"/>
        </w:rPr>
        <w:t xml:space="preserve">3. Define API routes under /api/v1/&lt;module_name&gt;/</w:t>
      </w:r>
    </w:p>
    <w:p>
      <w:pPr>
        <w:pStyle w:val="ListParagraph"/>
        <w:numPr>
          <w:ilvl w:val="0"/>
          <w:numId w:val="2"/>
        </w:numPr>
        <w:spacing w:after="60"/>
      </w:pPr>
      <w:r>
        <w:rPr>
          <w:rFonts w:ascii="Arial" w:cs="Arial" w:eastAsia="Arial" w:hAnsi="Arial"/>
          <w:color w:val="2C3E50"/>
          <w:sz w:val="22"/>
          <w:szCs w:val="22"/>
        </w:rPr>
        <w:t xml:space="preserve">4. Register routes in app/api/v1/router.py</w:t>
      </w:r>
    </w:p>
    <w:p>
      <w:pPr>
        <w:pStyle w:val="ListParagraph"/>
        <w:numPr>
          <w:ilvl w:val="0"/>
          <w:numId w:val="2"/>
        </w:numPr>
        <w:spacing w:after="60"/>
      </w:pPr>
      <w:r>
        <w:rPr>
          <w:rFonts w:ascii="Arial" w:cs="Arial" w:eastAsia="Arial" w:hAnsi="Arial"/>
          <w:color w:val="2C3E50"/>
          <w:sz w:val="22"/>
          <w:szCs w:val="22"/>
        </w:rPr>
        <w:t xml:space="preserve">5. Add org_type → module mapping in module registry</w:t>
      </w:r>
    </w:p>
    <w:p>
      <w:pPr>
        <w:pStyle w:val="ListParagraph"/>
        <w:numPr>
          <w:ilvl w:val="0"/>
          <w:numId w:val="2"/>
        </w:numPr>
        <w:spacing w:after="60"/>
      </w:pPr>
      <w:r>
        <w:rPr>
          <w:rFonts w:ascii="Arial" w:cs="Arial" w:eastAsia="Arial" w:hAnsi="Arial"/>
          <w:color w:val="2C3E50"/>
          <w:sz w:val="22"/>
          <w:szCs w:val="22"/>
        </w:rPr>
        <w:t xml:space="preserve">6. Call accounting service via internal function — never HTTP</w:t>
      </w:r>
    </w:p>
    <w:p>
      <w:pPr>
        <w:pStyle w:val="ListParagraph"/>
        <w:numPr>
          <w:ilvl w:val="0"/>
          <w:numId w:val="2"/>
        </w:numPr>
        <w:spacing w:after="60"/>
      </w:pPr>
      <w:r>
        <w:rPr>
          <w:rFonts w:ascii="Arial" w:cs="Arial" w:eastAsia="Arial" w:hAnsi="Arial"/>
          <w:color w:val="2C3E50"/>
          <w:sz w:val="22"/>
          <w:szCs w:val="22"/>
        </w:rPr>
        <w:t xml:space="preserve">7. Write tenant isolation tests before merging</w:t>
      </w:r>
    </w:p>
    <w:p>
      <w:pPr>
        <w:pStyle w:val="ListParagraph"/>
        <w:numPr>
          <w:ilvl w:val="0"/>
          <w:numId w:val="2"/>
        </w:numPr>
        <w:spacing w:after="60"/>
      </w:pPr>
      <w:r>
        <w:rPr>
          <w:rFonts w:ascii="Arial" w:cs="Arial" w:eastAsia="Arial" w:hAnsi="Arial"/>
          <w:color w:val="2C3E50"/>
          <w:sz w:val="22"/>
          <w:szCs w:val="22"/>
        </w:rPr>
        <w:t xml:space="preserve">8. Update COA sample files in data/coa_samples/</w:t>
      </w:r>
    </w:p>
    <w:p>
      <w:pPr>
        <w:spacing w:after="80" w:before="80"/>
        <w:ind w:left="360"/>
      </w:pPr>
      <w:r>
        <w:rPr>
          <w:rFonts w:ascii="Arial" w:cs="Arial" w:eastAsia="Arial" w:hAnsi="Arial"/>
          <w:i/>
          <w:iCs/>
          <w:color w:val="5D6D7E"/>
          <w:sz w:val="20"/>
          <w:szCs w:val="20"/>
        </w:rPr>
        <w:t xml:space="preserve">💡 A new module must never import from another module. Inter-module communication goes through the core services layer or accounting engine only.</w:t>
      </w:r>
    </w:p>
    <w:p>
      <w:r>
        <w:br w:type="page"/>
      </w:r>
    </w:p>
    <w:p>
      <w:pPr>
        <w:spacing w:after="60" w:before="200"/>
      </w:pPr>
      <w:r>
        <w:rPr>
          <w:rFonts w:ascii="Arial" w:cs="Arial" w:eastAsia="Arial" w:hAnsi="Arial"/>
          <w:b/>
          <w:bCs/>
          <w:color w:val="1B4F8A"/>
          <w:sz w:val="48"/>
          <w:szCs w:val="48"/>
        </w:rPr>
        <w:t xml:space="preserve">6. Naming Conventions</w:t>
      </w:r>
    </w:p>
    <w:p>
      <w:pPr>
        <w:spacing w:after="300"/>
      </w:pPr>
      <w:r>
        <w:rPr>
          <w:rFonts w:ascii="Arial" w:cs="Arial" w:eastAsia="Arial" w:hAnsi="Arial"/>
          <w:i/>
          <w:iCs/>
          <w:color w:val="7F8C8D"/>
          <w:sz w:val="24"/>
          <w:szCs w:val="24"/>
        </w:rPr>
        <w:t xml:space="preserve">Consistent naming across backend, DB, and APIs</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Python / Backend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Context</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Convention</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Modules / packages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snake_case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temple, housing, legal</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Python files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snake_case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journal_service.py, coa_wizard.py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PascalCase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JournalEntry, TenantContext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Functions / methods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snake_case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post_journal_entry(), get_ledger()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Constants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UPPER_SNAKE_CASE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DEFAULT_APP_KEY, MAX_RETRY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SQLAlchemy models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PascalCase class, snake_case table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class JournalEntry → table journal_entries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Pydantic schemas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PascalCase + In/Out suffix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DonationIn, DonationOut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Route handlers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snake_case verb first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create_donation, list_holdings</w:t>
            </w:r>
          </w:p>
        </w:tc>
      </w:tr>
    </w:tbl>
    <w:p>
      <w:pP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Database Conventions</w:t>
      </w:r>
    </w:p>
    <w:p>
      <w:pPr>
        <w:pStyle w:val="Heading2"/>
        <w:spacing w:after="80" w:before="240"/>
      </w:pPr>
      <w:r>
        <w:rPr>
          <w:rFonts w:ascii="Arial" w:cs="Arial" w:eastAsia="Arial" w:hAnsi="Arial"/>
          <w:b/>
          <w:bCs/>
          <w:color w:val="2E86C1"/>
          <w:sz w:val="28"/>
          <w:szCs w:val="28"/>
        </w:rPr>
        <w:t xml:space="preserve">PostgreSQL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Table names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Plural, snake_case: journal_entries, journal_lines, accounts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Column names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snake_case: tenant_id, account_code, is_cash_bank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 keys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(integer, auto-increment) or uuid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Foreign keys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&lt;table_singular&gt;_id: entry_id, account_id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Timestamps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created_at, updated_at (always present, UTC)</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Boolean columns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is_ prefix: is_active, is_cash_bank, is_receivable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Soft 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is_deleted boolean — never hard delete accounting rows</w:t>
            </w:r>
          </w:p>
        </w:tc>
      </w:tr>
    </w:tbl>
    <w:p>
      <w:pPr>
        <w:spacing w:after="200"/>
      </w:pPr>
    </w:p>
    <w:p>
      <w:pPr>
        <w:pStyle w:val="Heading2"/>
        <w:spacing w:after="80" w:before="240"/>
      </w:pPr>
      <w:r>
        <w:rPr>
          <w:rFonts w:ascii="Arial" w:cs="Arial" w:eastAsia="Arial" w:hAnsi="Arial"/>
          <w:b/>
          <w:bCs/>
          <w:color w:val="2E86C1"/>
          <w:sz w:val="28"/>
          <w:szCs w:val="28"/>
        </w:rPr>
        <w:t xml:space="preserve">MongoDB (Domain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Collection names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Plural, snake_case: residents, devotees, legal_cases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Field names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snake_case: tenant_id, app_key,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_id as MongoDB ObjectId, tenant_id as string UUID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App scoping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Every document carries app_key for multi-product isolation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ISO 8601 UTC: 2026-05-01T10:30:00Z</w:t>
            </w:r>
          </w:p>
        </w:tc>
      </w:tr>
    </w:tbl>
    <w:p>
      <w:pP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Source System Naming</w:t>
      </w:r>
    </w:p>
    <w:p>
      <w:pPr>
        <w:spacing w:after="100"/>
      </w:pPr>
      <w:r>
        <w:rPr>
          <w:rFonts w:ascii="Arial" w:cs="Arial" w:eastAsia="Arial" w:hAnsi="Arial"/>
          <w:b w:val="false"/>
          <w:bCs w:val="false"/>
          <w:i w:val="false"/>
          <w:iCs w:val="false"/>
          <w:color w:val="2C3E50"/>
          <w:sz w:val="22"/>
          <w:szCs w:val="22"/>
        </w:rPr>
        <w:t xml:space="preserve">When registering source accounts for COA mapping, use these exact source_system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Product</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source_system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GharMitra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ghar_mitra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MandirMitra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mandir_mitra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MitraBooks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mitra_books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LegalMitra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legal_mitra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InvestMitra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invest_mitra</w:t>
            </w:r>
          </w:p>
        </w:tc>
      </w:tr>
    </w:tbl>
    <w:p>
      <w:pP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Account Code Prefixes</w:t>
      </w:r>
    </w:p>
    <w:p>
      <w:pPr>
        <w:spacing w:after="100"/>
      </w:pPr>
      <w:r>
        <w:rPr>
          <w:rFonts w:ascii="Arial" w:cs="Arial" w:eastAsia="Arial" w:hAnsi="Arial"/>
          <w:b w:val="false"/>
          <w:bCs w:val="false"/>
          <w:i w:val="false"/>
          <w:iCs w:val="false"/>
          <w:color w:val="2C3E50"/>
          <w:sz w:val="22"/>
          <w:szCs w:val="22"/>
        </w:rPr>
        <w:t xml:space="preserve">Source account codes must follow product prefixes to avoid collisions during COA mapping:</w:t>
      </w:r>
    </w:p>
    <w:p>
      <w:pPr>
        <w:pStyle w:val="ListParagraph"/>
        <w:numPr>
          <w:ilvl w:val="0"/>
          <w:numId w:val="2"/>
        </w:numPr>
        <w:spacing w:after="60"/>
      </w:pPr>
      <w:r>
        <w:rPr>
          <w:rFonts w:ascii="Arial" w:cs="Arial" w:eastAsia="Arial" w:hAnsi="Arial"/>
          <w:color w:val="2C3E50"/>
          <w:sz w:val="22"/>
          <w:szCs w:val="22"/>
        </w:rPr>
        <w:t xml:space="preserve">GharMitra: GM-XXXX (e.g. GM-CASH-001, GM-MAINT-INC)</w:t>
      </w:r>
    </w:p>
    <w:p>
      <w:pPr>
        <w:pStyle w:val="ListParagraph"/>
        <w:numPr>
          <w:ilvl w:val="0"/>
          <w:numId w:val="2"/>
        </w:numPr>
        <w:spacing w:after="60"/>
      </w:pPr>
      <w:r>
        <w:rPr>
          <w:rFonts w:ascii="Arial" w:cs="Arial" w:eastAsia="Arial" w:hAnsi="Arial"/>
          <w:color w:val="2C3E50"/>
          <w:sz w:val="22"/>
          <w:szCs w:val="22"/>
        </w:rPr>
        <w:t xml:space="preserve">MandirMitra: MM-XXXX (e.g. MM-DON-INC, MM-CASH)</w:t>
      </w:r>
    </w:p>
    <w:p>
      <w:pPr>
        <w:pStyle w:val="ListParagraph"/>
        <w:numPr>
          <w:ilvl w:val="0"/>
          <w:numId w:val="2"/>
        </w:numPr>
        <w:spacing w:after="60"/>
      </w:pPr>
      <w:r>
        <w:rPr>
          <w:rFonts w:ascii="Arial" w:cs="Arial" w:eastAsia="Arial" w:hAnsi="Arial"/>
          <w:color w:val="2C3E50"/>
          <w:sz w:val="22"/>
          <w:szCs w:val="22"/>
        </w:rPr>
        <w:t xml:space="preserve">MitraBooks: MB-XXXX (e.g. MB-AR-001, MB-AP-001)</w:t>
      </w:r>
    </w:p>
    <w:p>
      <w:pPr>
        <w:pStyle w:val="ListParagraph"/>
        <w:numPr>
          <w:ilvl w:val="0"/>
          <w:numId w:val="2"/>
        </w:numPr>
        <w:spacing w:after="60"/>
      </w:pPr>
      <w:r>
        <w:rPr>
          <w:rFonts w:ascii="Arial" w:cs="Arial" w:eastAsia="Arial" w:hAnsi="Arial"/>
          <w:color w:val="2C3E50"/>
          <w:sz w:val="22"/>
          <w:szCs w:val="22"/>
        </w:rPr>
        <w:t xml:space="preserve">LegalMitra: LM-XXXX</w:t>
      </w:r>
    </w:p>
    <w:p>
      <w:pPr>
        <w:pStyle w:val="ListParagraph"/>
        <w:numPr>
          <w:ilvl w:val="0"/>
          <w:numId w:val="2"/>
        </w:numPr>
        <w:spacing w:after="60"/>
      </w:pPr>
      <w:r>
        <w:rPr>
          <w:rFonts w:ascii="Arial" w:cs="Arial" w:eastAsia="Arial" w:hAnsi="Arial"/>
          <w:color w:val="2C3E50"/>
          <w:sz w:val="22"/>
          <w:szCs w:val="22"/>
        </w:rPr>
        <w:t xml:space="preserve">InvestMitra: IM-XXXX</w:t>
      </w:r>
    </w:p>
    <w:p>
      <w:r>
        <w:br w:type="page"/>
      </w:r>
    </w:p>
    <w:p>
      <w:pPr>
        <w:spacing w:after="60" w:before="200"/>
      </w:pPr>
      <w:r>
        <w:rPr>
          <w:rFonts w:ascii="Arial" w:cs="Arial" w:eastAsia="Arial" w:hAnsi="Arial"/>
          <w:b/>
          <w:bCs/>
          <w:color w:val="1B4F8A"/>
          <w:sz w:val="48"/>
          <w:szCs w:val="48"/>
        </w:rPr>
        <w:t xml:space="preserve">7. API Standards</w:t>
      </w:r>
    </w:p>
    <w:p>
      <w:pPr>
        <w:spacing w:after="300"/>
      </w:pPr>
      <w:r>
        <w:rPr>
          <w:rFonts w:ascii="Arial" w:cs="Arial" w:eastAsia="Arial" w:hAnsi="Arial"/>
          <w:i/>
          <w:iCs/>
          <w:color w:val="7F8C8D"/>
          <w:sz w:val="24"/>
          <w:szCs w:val="24"/>
        </w:rPr>
        <w:t xml:space="preserve">REST API Design Rules &amp; Conventions</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API Design Principles</w:t>
      </w:r>
    </w:p>
    <w:p>
      <w:pPr>
        <w:pStyle w:val="ListParagraph"/>
        <w:numPr>
          <w:ilvl w:val="0"/>
          <w:numId w:val="2"/>
        </w:numPr>
        <w:spacing w:after="60"/>
      </w:pPr>
      <w:r>
        <w:rPr>
          <w:rFonts w:ascii="Arial" w:cs="Arial" w:eastAsia="Arial" w:hAnsi="Arial"/>
          <w:color w:val="2C3E50"/>
          <w:sz w:val="22"/>
          <w:szCs w:val="22"/>
        </w:rPr>
        <w:t xml:space="preserve">API-first: all frontend interactions through versioned REST APIs — no business logic in frontends</w:t>
      </w:r>
    </w:p>
    <w:p>
      <w:pPr>
        <w:pStyle w:val="ListParagraph"/>
        <w:numPr>
          <w:ilvl w:val="0"/>
          <w:numId w:val="2"/>
        </w:numPr>
        <w:spacing w:after="60"/>
      </w:pPr>
      <w:r>
        <w:rPr>
          <w:rFonts w:ascii="Arial" w:cs="Arial" w:eastAsia="Arial" w:hAnsi="Arial"/>
          <w:color w:val="2C3E50"/>
          <w:sz w:val="22"/>
          <w:szCs w:val="22"/>
        </w:rPr>
        <w:t xml:space="preserve">Versioned: all routes under /api/v1/ — breaking changes require a new version prefix</w:t>
      </w:r>
    </w:p>
    <w:p>
      <w:pPr>
        <w:pStyle w:val="ListParagraph"/>
        <w:numPr>
          <w:ilvl w:val="0"/>
          <w:numId w:val="2"/>
        </w:numPr>
        <w:spacing w:after="60"/>
      </w:pPr>
      <w:r>
        <w:rPr>
          <w:rFonts w:ascii="Arial" w:cs="Arial" w:eastAsia="Arial" w:hAnsi="Arial"/>
          <w:color w:val="2C3E50"/>
          <w:sz w:val="22"/>
          <w:szCs w:val="22"/>
        </w:rPr>
        <w:t xml:space="preserve">Tenant-safe: tenant_id always from JWT — never from request body</w:t>
      </w:r>
    </w:p>
    <w:p>
      <w:pPr>
        <w:pStyle w:val="ListParagraph"/>
        <w:numPr>
          <w:ilvl w:val="0"/>
          <w:numId w:val="2"/>
        </w:numPr>
        <w:spacing w:after="60"/>
      </w:pPr>
      <w:r>
        <w:rPr>
          <w:rFonts w:ascii="Arial" w:cs="Arial" w:eastAsia="Arial" w:hAnsi="Arial"/>
          <w:color w:val="2C3E50"/>
          <w:sz w:val="22"/>
          <w:szCs w:val="22"/>
        </w:rPr>
        <w:t xml:space="preserve">Idempotent: financial POSTing endpoints accept X-Idempotency-Key header</w:t>
      </w:r>
    </w:p>
    <w:p>
      <w:pPr>
        <w:pStyle w:val="ListParagraph"/>
        <w:numPr>
          <w:ilvl w:val="0"/>
          <w:numId w:val="2"/>
        </w:numPr>
        <w:spacing w:after="60"/>
      </w:pPr>
      <w:r>
        <w:rPr>
          <w:rFonts w:ascii="Arial" w:cs="Arial" w:eastAsia="Arial" w:hAnsi="Arial"/>
          <w:color w:val="2C3E50"/>
          <w:sz w:val="22"/>
          <w:szCs w:val="22"/>
        </w:rPr>
        <w:t xml:space="preserve">Paginated: all list endpoints support page and page_size query params</w:t>
      </w:r>
    </w:p>
    <w:p>
      <w:pPr>
        <w:pStyle w:val="ListParagraph"/>
        <w:numPr>
          <w:ilvl w:val="0"/>
          <w:numId w:val="2"/>
        </w:numPr>
        <w:spacing w:after="60"/>
      </w:pPr>
      <w:r>
        <w:rPr>
          <w:rFonts w:ascii="Arial" w:cs="Arial" w:eastAsia="Arial" w:hAnsi="Arial"/>
          <w:color w:val="2C3E50"/>
          <w:sz w:val="22"/>
          <w:szCs w:val="22"/>
        </w:rPr>
        <w:t xml:space="preserve">Consistent errors: all errors return standard error envelope</w:t>
      </w:r>
    </w:p>
    <w:p>
      <w:pPr>
        <w:pStyle w:val="Heading2"/>
        <w:spacing w:after="80" w:before="240"/>
      </w:pPr>
      <w:r>
        <w:rPr>
          <w:rFonts w:ascii="Arial" w:cs="Arial" w:eastAsia="Arial" w:hAnsi="Arial"/>
          <w:b/>
          <w:bCs/>
          <w:color w:val="2E86C1"/>
          <w:sz w:val="28"/>
          <w:szCs w:val="28"/>
        </w:rPr>
        <w:t xml:space="preserve">Required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Header</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Authorization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Bearer &lt;access_token&gt;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X-App-Key</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Product key: mandirmitra | gruhamitra | mitrabooks | legalmitra | investmitra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X-Idempotency-Key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For POST /journal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 — prevents duplicate financial postings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X-Tenant-ID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Super-admin only</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Override for cross-tenant support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Content-Type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 (POST/PATCH)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application/json</w:t>
            </w:r>
          </w:p>
        </w:tc>
      </w:tr>
    </w:tbl>
    <w:p>
      <w:pPr>
        <w:spacing w:after="200"/>
      </w:pPr>
    </w:p>
    <w:p>
      <w:pPr>
        <w:pStyle w:val="Heading2"/>
        <w:spacing w:after="80" w:before="240"/>
      </w:pPr>
      <w:r>
        <w:rPr>
          <w:rFonts w:ascii="Arial" w:cs="Arial" w:eastAsia="Arial" w:hAnsi="Arial"/>
          <w:b/>
          <w:bCs/>
          <w:color w:val="2E86C1"/>
          <w:sz w:val="28"/>
          <w:szCs w:val="28"/>
        </w:rPr>
        <w:t xml:space="preserve">URL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Pattern</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/api/v1/{module}/{resources}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List resources (paginated)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/api/v1/{module}/{resources}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/api/v1/{module}/{resources}/{id}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Get single resource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PATCH</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/api/v1/{module}/{resources}/{id}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Partial update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/api/v1/{module}/{resources}/{id}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Soft delete (set is_deleted)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/api/v1/{module}/{resources}/{id}/{action}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State transition (approve, cancel, etc.)</w:t>
            </w:r>
          </w:p>
        </w:tc>
      </w:tr>
    </w:tbl>
    <w:p>
      <w:pPr>
        <w:spacing w:after="200"/>
      </w:pPr>
    </w:p>
    <w:p>
      <w:pPr>
        <w:pStyle w:val="Heading2"/>
        <w:spacing w:after="80" w:before="240"/>
      </w:pPr>
      <w:r>
        <w:rPr>
          <w:rFonts w:ascii="Arial" w:cs="Arial" w:eastAsia="Arial" w:hAnsi="Arial"/>
          <w:b/>
          <w:bCs/>
          <w:color w:val="2E86C1"/>
          <w:sz w:val="28"/>
          <w:szCs w:val="28"/>
        </w:rPr>
        <w:t xml:space="preserve">Standard Response Envelope</w:t>
      </w:r>
    </w:p>
    <w:p>
      <w:pPr>
        <w:pStyle w:val="Heading3"/>
        <w:spacing w:after="60" w:before="160"/>
      </w:pPr>
      <w:r>
        <w:rPr>
          <w:rFonts w:ascii="Arial" w:cs="Arial" w:eastAsia="Arial" w:hAnsi="Arial"/>
          <w:b/>
          <w:bCs/>
          <w:color w:val="2C3E50"/>
          <w:sz w:val="24"/>
          <w:szCs w:val="24"/>
        </w:rPr>
        <w:t xml:space="preserve">Success (200 / 201)</w:t>
      </w:r>
    </w:p>
    <w:p>
      <w:pPr>
        <w:spacing w:after="100"/>
      </w:pPr>
      <w:r>
        <w:rPr>
          <w:rFonts w:ascii="Arial" w:cs="Arial" w:eastAsia="Arial" w:hAnsi="Arial"/>
          <w:b w:val="false"/>
          <w:bCs w:val="false"/>
          <w:i/>
          <w:iCs/>
          <w:color w:val="2C3E50"/>
          <w:sz w:val="22"/>
          <w:szCs w:val="22"/>
        </w:rPr>
        <w:t xml:space="preserve">{ "success": true, "data": { ... }, "meta": { "page": 1, "total": 42 } }</w:t>
      </w:r>
    </w:p>
    <w:p>
      <w:pPr>
        <w:pStyle w:val="Heading3"/>
        <w:spacing w:after="60" w:before="160"/>
      </w:pPr>
      <w:r>
        <w:rPr>
          <w:rFonts w:ascii="Arial" w:cs="Arial" w:eastAsia="Arial" w:hAnsi="Arial"/>
          <w:b/>
          <w:bCs/>
          <w:color w:val="2C3E50"/>
          <w:sz w:val="24"/>
          <w:szCs w:val="24"/>
        </w:rPr>
        <w:t xml:space="preserve">Error (4xx / 5xx)</w:t>
      </w:r>
    </w:p>
    <w:p>
      <w:pPr>
        <w:spacing w:after="100"/>
      </w:pPr>
      <w:r>
        <w:rPr>
          <w:rFonts w:ascii="Arial" w:cs="Arial" w:eastAsia="Arial" w:hAnsi="Arial"/>
          <w:b w:val="false"/>
          <w:bCs w:val="false"/>
          <w:i/>
          <w:iCs/>
          <w:color w:val="2C3E50"/>
          <w:sz w:val="22"/>
          <w:szCs w:val="22"/>
        </w:rPr>
        <w:t xml:space="preserve">{ "success": false, "error": { "code": "TENANT_NOT_FOUND", "message": "Tenant does not exist", "detail": null } }</w:t>
      </w:r>
    </w:p>
    <w:p>
      <w:pPr>
        <w:pStyle w:val="Heading2"/>
        <w:spacing w:after="80" w:before="240"/>
      </w:pPr>
      <w:r>
        <w:rPr>
          <w:rFonts w:ascii="Arial" w:cs="Arial" w:eastAsia="Arial" w:hAnsi="Arial"/>
          <w:b/>
          <w:bCs/>
          <w:color w:val="2E86C1"/>
          <w:sz w:val="28"/>
          <w:szCs w:val="28"/>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Error Code</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HTTP</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UNAUTHORIZED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Missing or invalid JWT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FORBIDDEN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403</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Role doesn't have permission for this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TENANT_INACTIVE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Tenant is suspended or inactive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NOT_FOUND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404</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Resource not found or belongs to another tenant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JOURNAL_UNBALANCED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Debit ≠ Credit in journal entry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COA_UNMAPPED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422</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Source account has no active canonical mapping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DUPLICATE_POSTING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Idempotency key already used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VALIDATION_ERROR</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422</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Request body fails schema validation</w:t>
            </w:r>
          </w:p>
        </w:tc>
      </w:tr>
    </w:tbl>
    <w:p>
      <w:pPr>
        <w:spacing w:after="200"/>
      </w:pPr>
    </w:p>
    <w:p>
      <w:pPr>
        <w:pStyle w:val="Heading2"/>
        <w:spacing w:after="80" w:before="240"/>
      </w:pPr>
      <w:r>
        <w:rPr>
          <w:rFonts w:ascii="Arial" w:cs="Arial" w:eastAsia="Arial" w:hAnsi="Arial"/>
          <w:b/>
          <w:bCs/>
          <w:color w:val="2E86C1"/>
          <w:sz w:val="28"/>
          <w:szCs w:val="28"/>
        </w:rPr>
        <w:t xml:space="preserve">Implemented Endpoints — Summary</w:t>
      </w:r>
    </w:p>
    <w:p>
      <w:pPr>
        <w:pStyle w:val="Heading3"/>
        <w:spacing w:after="60" w:before="160"/>
      </w:pPr>
      <w:r>
        <w:rPr>
          <w:rFonts w:ascii="Arial" w:cs="Arial" w:eastAsia="Arial" w:hAnsi="Arial"/>
          <w:b/>
          <w:bCs/>
          <w:color w:val="2C3E50"/>
          <w:sz w:val="24"/>
          <w:szCs w:val="24"/>
        </w:rPr>
        <w:t xml:space="preserve">Auth &amp; Users</w:t>
      </w:r>
    </w:p>
    <w:p>
      <w:pPr>
        <w:pStyle w:val="ListParagraph"/>
        <w:numPr>
          <w:ilvl w:val="0"/>
          <w:numId w:val="2"/>
        </w:numPr>
        <w:spacing w:after="60"/>
      </w:pPr>
      <w:r>
        <w:rPr>
          <w:rFonts w:ascii="Arial" w:cs="Arial" w:eastAsia="Arial" w:hAnsi="Arial"/>
          <w:color w:val="2C3E50"/>
          <w:sz w:val="22"/>
          <w:szCs w:val="22"/>
        </w:rPr>
        <w:t xml:space="preserve">POST /api/v1/auth/login — returns access_token + refresh_token</w:t>
      </w:r>
    </w:p>
    <w:p>
      <w:pPr>
        <w:pStyle w:val="ListParagraph"/>
        <w:numPr>
          <w:ilvl w:val="0"/>
          <w:numId w:val="2"/>
        </w:numPr>
        <w:spacing w:after="60"/>
      </w:pPr>
      <w:r>
        <w:rPr>
          <w:rFonts w:ascii="Arial" w:cs="Arial" w:eastAsia="Arial" w:hAnsi="Arial"/>
          <w:color w:val="2C3E50"/>
          <w:sz w:val="22"/>
          <w:szCs w:val="22"/>
        </w:rPr>
        <w:t xml:space="preserve">POST /api/v1/auth/refresh — rotates refresh token</w:t>
      </w:r>
    </w:p>
    <w:p>
      <w:pPr>
        <w:pStyle w:val="ListParagraph"/>
        <w:numPr>
          <w:ilvl w:val="0"/>
          <w:numId w:val="2"/>
        </w:numPr>
        <w:spacing w:after="60"/>
      </w:pPr>
      <w:r>
        <w:rPr>
          <w:rFonts w:ascii="Arial" w:cs="Arial" w:eastAsia="Arial" w:hAnsi="Arial"/>
          <w:color w:val="2C3E50"/>
          <w:sz w:val="22"/>
          <w:szCs w:val="22"/>
        </w:rPr>
        <w:t xml:space="preserve">POST /api/v1/auth/logout — invalidates refresh token</w:t>
      </w:r>
    </w:p>
    <w:p>
      <w:pPr>
        <w:pStyle w:val="ListParagraph"/>
        <w:numPr>
          <w:ilvl w:val="0"/>
          <w:numId w:val="2"/>
        </w:numPr>
        <w:spacing w:after="60"/>
      </w:pPr>
      <w:r>
        <w:rPr>
          <w:rFonts w:ascii="Arial" w:cs="Arial" w:eastAsia="Arial" w:hAnsi="Arial"/>
          <w:color w:val="2C3E50"/>
          <w:sz w:val="22"/>
          <w:szCs w:val="22"/>
        </w:rPr>
        <w:t xml:space="preserve">GET /api/v1/users/me — current user profile with app_key</w:t>
      </w:r>
    </w:p>
    <w:p>
      <w:pPr>
        <w:pStyle w:val="ListParagraph"/>
        <w:numPr>
          <w:ilvl w:val="0"/>
          <w:numId w:val="2"/>
        </w:numPr>
        <w:spacing w:after="60"/>
      </w:pPr>
      <w:r>
        <w:rPr>
          <w:rFonts w:ascii="Arial" w:cs="Arial" w:eastAsia="Arial" w:hAnsi="Arial"/>
          <w:color w:val="2C3E50"/>
          <w:sz w:val="22"/>
          <w:szCs w:val="22"/>
        </w:rPr>
        <w:t xml:space="preserve">POST /api/v1/users — create user (tenant_admin only)</w:t>
      </w:r>
    </w:p>
    <w:p>
      <w:pPr>
        <w:pStyle w:val="Heading3"/>
        <w:spacing w:after="60" w:before="160"/>
      </w:pPr>
      <w:r>
        <w:rPr>
          <w:rFonts w:ascii="Arial" w:cs="Arial" w:eastAsia="Arial" w:hAnsi="Arial"/>
          <w:b/>
          <w:bCs/>
          <w:color w:val="2C3E50"/>
          <w:sz w:val="24"/>
          <w:szCs w:val="24"/>
        </w:rPr>
        <w:t xml:space="preserve">Tenants &amp; Onboarding</w:t>
      </w:r>
    </w:p>
    <w:p>
      <w:pPr>
        <w:pStyle w:val="ListParagraph"/>
        <w:numPr>
          <w:ilvl w:val="0"/>
          <w:numId w:val="2"/>
        </w:numPr>
        <w:spacing w:after="60"/>
      </w:pPr>
      <w:r>
        <w:rPr>
          <w:rFonts w:ascii="Arial" w:cs="Arial" w:eastAsia="Arial" w:hAnsi="Arial"/>
          <w:color w:val="2C3E50"/>
          <w:sz w:val="22"/>
          <w:szCs w:val="22"/>
        </w:rPr>
        <w:t xml:space="preserve">GET /api/v1/tenants — list (super_admin only)</w:t>
      </w:r>
    </w:p>
    <w:p>
      <w:pPr>
        <w:pStyle w:val="ListParagraph"/>
        <w:numPr>
          <w:ilvl w:val="0"/>
          <w:numId w:val="2"/>
        </w:numPr>
        <w:spacing w:after="60"/>
      </w:pPr>
      <w:r>
        <w:rPr>
          <w:rFonts w:ascii="Arial" w:cs="Arial" w:eastAsia="Arial" w:hAnsi="Arial"/>
          <w:color w:val="2C3E50"/>
          <w:sz w:val="22"/>
          <w:szCs w:val="22"/>
        </w:rPr>
        <w:t xml:space="preserve">PATCH /api/v1/tenants/{id}/status — activate/suspend</w:t>
      </w:r>
    </w:p>
    <w:p>
      <w:pPr>
        <w:pStyle w:val="ListParagraph"/>
        <w:numPr>
          <w:ilvl w:val="0"/>
          <w:numId w:val="2"/>
        </w:numPr>
        <w:spacing w:after="60"/>
      </w:pPr>
      <w:r>
        <w:rPr>
          <w:rFonts w:ascii="Arial" w:cs="Arial" w:eastAsia="Arial" w:hAnsi="Arial"/>
          <w:color w:val="2C3E50"/>
          <w:sz w:val="22"/>
          <w:szCs w:val="22"/>
        </w:rPr>
        <w:t xml:space="preserve">POST /api/v1/onboarding-requests/register — public self-registration</w:t>
      </w:r>
    </w:p>
    <w:p>
      <w:pPr>
        <w:pStyle w:val="ListParagraph"/>
        <w:numPr>
          <w:ilvl w:val="0"/>
          <w:numId w:val="2"/>
        </w:numPr>
        <w:spacing w:after="60"/>
      </w:pPr>
      <w:r>
        <w:rPr>
          <w:rFonts w:ascii="Arial" w:cs="Arial" w:eastAsia="Arial" w:hAnsi="Arial"/>
          <w:color w:val="2C3E50"/>
          <w:sz w:val="22"/>
          <w:szCs w:val="22"/>
        </w:rPr>
        <w:t xml:space="preserve">POST /api/v1/onboarding-requests/{id}/approve — creates tenant + admin user</w:t>
      </w:r>
    </w:p>
    <w:p>
      <w:pPr>
        <w:pStyle w:val="Heading3"/>
        <w:spacing w:after="60" w:before="160"/>
      </w:pPr>
      <w:r>
        <w:rPr>
          <w:rFonts w:ascii="Arial" w:cs="Arial" w:eastAsia="Arial" w:hAnsi="Arial"/>
          <w:b/>
          <w:bCs/>
          <w:color w:val="2C3E50"/>
          <w:sz w:val="24"/>
          <w:szCs w:val="24"/>
        </w:rPr>
        <w:t xml:space="preserve">Accounting</w:t>
      </w:r>
    </w:p>
    <w:p>
      <w:pPr>
        <w:pStyle w:val="ListParagraph"/>
        <w:numPr>
          <w:ilvl w:val="0"/>
          <w:numId w:val="2"/>
        </w:numPr>
        <w:spacing w:after="60"/>
      </w:pPr>
      <w:r>
        <w:rPr>
          <w:rFonts w:ascii="Arial" w:cs="Arial" w:eastAsia="Arial" w:hAnsi="Arial"/>
          <w:color w:val="2C3E50"/>
          <w:sz w:val="22"/>
          <w:szCs w:val="22"/>
        </w:rPr>
        <w:t xml:space="preserve">POST /api/v1/accounting/accounts — create account in COA</w:t>
      </w:r>
    </w:p>
    <w:p>
      <w:pPr>
        <w:pStyle w:val="ListParagraph"/>
        <w:numPr>
          <w:ilvl w:val="0"/>
          <w:numId w:val="2"/>
        </w:numPr>
        <w:spacing w:after="60"/>
      </w:pPr>
      <w:r>
        <w:rPr>
          <w:rFonts w:ascii="Arial" w:cs="Arial" w:eastAsia="Arial" w:hAnsi="Arial"/>
          <w:color w:val="2C3E50"/>
          <w:sz w:val="22"/>
          <w:szCs w:val="22"/>
        </w:rPr>
        <w:t xml:space="preserve">POST /api/v1/accounting/journal — direct journal posting</w:t>
      </w:r>
    </w:p>
    <w:p>
      <w:pPr>
        <w:pStyle w:val="ListParagraph"/>
        <w:numPr>
          <w:ilvl w:val="0"/>
          <w:numId w:val="2"/>
        </w:numPr>
        <w:spacing w:after="60"/>
      </w:pPr>
      <w:r>
        <w:rPr>
          <w:rFonts w:ascii="Arial" w:cs="Arial" w:eastAsia="Arial" w:hAnsi="Arial"/>
          <w:color w:val="2C3E50"/>
          <w:sz w:val="22"/>
          <w:szCs w:val="22"/>
        </w:rPr>
        <w:t xml:space="preserve">POST /api/v1/accounting/journal/from-source — source-mapped posting</w:t>
      </w:r>
    </w:p>
    <w:p>
      <w:pPr>
        <w:pStyle w:val="ListParagraph"/>
        <w:numPr>
          <w:ilvl w:val="0"/>
          <w:numId w:val="2"/>
        </w:numPr>
        <w:spacing w:after="60"/>
      </w:pPr>
      <w:r>
        <w:rPr>
          <w:rFonts w:ascii="Arial" w:cs="Arial" w:eastAsia="Arial" w:hAnsi="Arial"/>
          <w:color w:val="2C3E50"/>
          <w:sz w:val="22"/>
          <w:szCs w:val="22"/>
        </w:rPr>
        <w:t xml:space="preserve">GET /api/v1/accounting/ledger/{account_id} — ledger movements</w:t>
      </w:r>
    </w:p>
    <w:p>
      <w:pPr>
        <w:pStyle w:val="ListParagraph"/>
        <w:numPr>
          <w:ilvl w:val="0"/>
          <w:numId w:val="2"/>
        </w:numPr>
        <w:spacing w:after="60"/>
      </w:pPr>
      <w:r>
        <w:rPr>
          <w:rFonts w:ascii="Arial" w:cs="Arial" w:eastAsia="Arial" w:hAnsi="Arial"/>
          <w:color w:val="2C3E50"/>
          <w:sz w:val="22"/>
          <w:szCs w:val="22"/>
        </w:rPr>
        <w:t xml:space="preserve">GET /api/v1/accounting/reports/trial-balance</w:t>
      </w:r>
    </w:p>
    <w:p>
      <w:pPr>
        <w:pStyle w:val="ListParagraph"/>
        <w:numPr>
          <w:ilvl w:val="0"/>
          <w:numId w:val="2"/>
        </w:numPr>
        <w:spacing w:after="60"/>
      </w:pPr>
      <w:r>
        <w:rPr>
          <w:rFonts w:ascii="Arial" w:cs="Arial" w:eastAsia="Arial" w:hAnsi="Arial"/>
          <w:color w:val="2C3E50"/>
          <w:sz w:val="22"/>
          <w:szCs w:val="22"/>
        </w:rPr>
        <w:t xml:space="preserve">GET /api/v1/accounting/reports/pnl</w:t>
      </w:r>
    </w:p>
    <w:p>
      <w:pPr>
        <w:pStyle w:val="ListParagraph"/>
        <w:numPr>
          <w:ilvl w:val="0"/>
          <w:numId w:val="2"/>
        </w:numPr>
        <w:spacing w:after="60"/>
      </w:pPr>
      <w:r>
        <w:rPr>
          <w:rFonts w:ascii="Arial" w:cs="Arial" w:eastAsia="Arial" w:hAnsi="Arial"/>
          <w:color w:val="2C3E50"/>
          <w:sz w:val="22"/>
          <w:szCs w:val="22"/>
        </w:rPr>
        <w:t xml:space="preserve">GET /api/v1/accounting/reports/balance-sheet</w:t>
      </w:r>
    </w:p>
    <w:p>
      <w:pPr>
        <w:pStyle w:val="ListParagraph"/>
        <w:numPr>
          <w:ilvl w:val="0"/>
          <w:numId w:val="2"/>
        </w:numPr>
        <w:spacing w:after="60"/>
      </w:pPr>
      <w:r>
        <w:rPr>
          <w:rFonts w:ascii="Arial" w:cs="Arial" w:eastAsia="Arial" w:hAnsi="Arial"/>
          <w:color w:val="2C3E50"/>
          <w:sz w:val="22"/>
          <w:szCs w:val="22"/>
        </w:rPr>
        <w:t xml:space="preserve">GET /api/v1/accounting/reports/cash-flow</w:t>
      </w:r>
    </w:p>
    <w:p>
      <w:pPr>
        <w:pStyle w:val="ListParagraph"/>
        <w:numPr>
          <w:ilvl w:val="0"/>
          <w:numId w:val="2"/>
        </w:numPr>
        <w:spacing w:after="60"/>
      </w:pPr>
      <w:r>
        <w:rPr>
          <w:rFonts w:ascii="Arial" w:cs="Arial" w:eastAsia="Arial" w:hAnsi="Arial"/>
          <w:color w:val="2C3E50"/>
          <w:sz w:val="22"/>
          <w:szCs w:val="22"/>
        </w:rPr>
        <w:t xml:space="preserve">GET /api/v1/accounting/reports/accounts-receivable</w:t>
      </w:r>
    </w:p>
    <w:p>
      <w:pPr>
        <w:pStyle w:val="ListParagraph"/>
        <w:numPr>
          <w:ilvl w:val="0"/>
          <w:numId w:val="2"/>
        </w:numPr>
        <w:spacing w:after="60"/>
      </w:pPr>
      <w:r>
        <w:rPr>
          <w:rFonts w:ascii="Arial" w:cs="Arial" w:eastAsia="Arial" w:hAnsi="Arial"/>
          <w:color w:val="2C3E50"/>
          <w:sz w:val="22"/>
          <w:szCs w:val="22"/>
        </w:rPr>
        <w:t xml:space="preserve">GET /api/v1/accounting/reports/accounts-payable</w:t>
      </w:r>
    </w:p>
    <w:p>
      <w:pPr>
        <w:pStyle w:val="ListParagraph"/>
        <w:numPr>
          <w:ilvl w:val="0"/>
          <w:numId w:val="2"/>
        </w:numPr>
        <w:spacing w:after="60"/>
      </w:pPr>
      <w:r>
        <w:rPr>
          <w:rFonts w:ascii="Arial" w:cs="Arial" w:eastAsia="Arial" w:hAnsi="Arial"/>
          <w:color w:val="2C3E50"/>
          <w:sz w:val="22"/>
          <w:szCs w:val="22"/>
        </w:rPr>
        <w:t xml:space="preserve">GET /api/v1/accounting/reports/income-expenditure</w:t>
      </w:r>
    </w:p>
    <w:p>
      <w:pPr>
        <w:pStyle w:val="ListParagraph"/>
        <w:numPr>
          <w:ilvl w:val="0"/>
          <w:numId w:val="2"/>
        </w:numPr>
        <w:spacing w:after="60"/>
      </w:pPr>
      <w:r>
        <w:rPr>
          <w:rFonts w:ascii="Arial" w:cs="Arial" w:eastAsia="Arial" w:hAnsi="Arial"/>
          <w:color w:val="2C3E50"/>
          <w:sz w:val="22"/>
          <w:szCs w:val="22"/>
        </w:rPr>
        <w:t xml:space="preserve">GET /api/v1/accounting/reports/receipts-payments</w:t>
      </w:r>
    </w:p>
    <w:p>
      <w:pPr>
        <w:pStyle w:val="Heading3"/>
        <w:spacing w:after="60" w:before="160"/>
      </w:pPr>
      <w:r>
        <w:rPr>
          <w:rFonts w:ascii="Arial" w:cs="Arial" w:eastAsia="Arial" w:hAnsi="Arial"/>
          <w:b/>
          <w:bCs/>
          <w:color w:val="2C3E50"/>
          <w:sz w:val="24"/>
          <w:szCs w:val="24"/>
        </w:rPr>
        <w:t xml:space="preserve">COA Wizard</w:t>
      </w:r>
    </w:p>
    <w:p>
      <w:pPr>
        <w:pStyle w:val="ListParagraph"/>
        <w:numPr>
          <w:ilvl w:val="0"/>
          <w:numId w:val="2"/>
        </w:numPr>
        <w:spacing w:after="60"/>
      </w:pPr>
      <w:r>
        <w:rPr>
          <w:rFonts w:ascii="Arial" w:cs="Arial" w:eastAsia="Arial" w:hAnsi="Arial"/>
          <w:color w:val="2C3E50"/>
          <w:sz w:val="22"/>
          <w:szCs w:val="22"/>
        </w:rPr>
        <w:t xml:space="preserve">POST /api/v1/accounting/coa/source-accounts/bulk — import source COA</w:t>
      </w:r>
    </w:p>
    <w:p>
      <w:pPr>
        <w:pStyle w:val="ListParagraph"/>
        <w:numPr>
          <w:ilvl w:val="0"/>
          <w:numId w:val="2"/>
        </w:numPr>
        <w:spacing w:after="60"/>
      </w:pPr>
      <w:r>
        <w:rPr>
          <w:rFonts w:ascii="Arial" w:cs="Arial" w:eastAsia="Arial" w:hAnsi="Arial"/>
          <w:color w:val="2C3E50"/>
          <w:sz w:val="22"/>
          <w:szCs w:val="22"/>
        </w:rPr>
        <w:t xml:space="preserve">GET /api/v1/accounting/coa/mapping-gaps — find unmapped accounts</w:t>
      </w:r>
    </w:p>
    <w:p>
      <w:pPr>
        <w:pStyle w:val="ListParagraph"/>
        <w:numPr>
          <w:ilvl w:val="0"/>
          <w:numId w:val="2"/>
        </w:numPr>
        <w:spacing w:after="60"/>
      </w:pPr>
      <w:r>
        <w:rPr>
          <w:rFonts w:ascii="Arial" w:cs="Arial" w:eastAsia="Arial" w:hAnsi="Arial"/>
          <w:color w:val="2C3E50"/>
          <w:sz w:val="22"/>
          <w:szCs w:val="22"/>
        </w:rPr>
        <w:t xml:space="preserve">POST /api/v1/accounting/coa/mappings/bulk — save draft mappings</w:t>
      </w:r>
    </w:p>
    <w:p>
      <w:pPr>
        <w:pStyle w:val="ListParagraph"/>
        <w:numPr>
          <w:ilvl w:val="0"/>
          <w:numId w:val="2"/>
        </w:numPr>
        <w:spacing w:after="60"/>
      </w:pPr>
      <w:r>
        <w:rPr>
          <w:rFonts w:ascii="Arial" w:cs="Arial" w:eastAsia="Arial" w:hAnsi="Arial"/>
          <w:color w:val="2C3E50"/>
          <w:sz w:val="22"/>
          <w:szCs w:val="22"/>
        </w:rPr>
        <w:t xml:space="preserve">POST /api/v1/accounting/coa/mappings/approve — activate mappings</w:t>
      </w:r>
    </w:p>
    <w:p>
      <w:pPr>
        <w:pStyle w:val="ListParagraph"/>
        <w:numPr>
          <w:ilvl w:val="0"/>
          <w:numId w:val="2"/>
        </w:numPr>
        <w:spacing w:after="60"/>
      </w:pPr>
      <w:r>
        <w:rPr>
          <w:rFonts w:ascii="Arial" w:cs="Arial" w:eastAsia="Arial" w:hAnsi="Arial"/>
          <w:color w:val="2C3E50"/>
          <w:sz w:val="22"/>
          <w:szCs w:val="22"/>
        </w:rPr>
        <w:t xml:space="preserve">GET /api/v1/accounting/coa/onboarding-status — readiness check</w:t>
      </w:r>
    </w:p>
    <w:p>
      <w:pPr>
        <w:pStyle w:val="Heading3"/>
        <w:spacing w:after="60" w:before="160"/>
      </w:pPr>
      <w:r>
        <w:rPr>
          <w:rFonts w:ascii="Arial" w:cs="Arial" w:eastAsia="Arial" w:hAnsi="Arial"/>
          <w:b/>
          <w:bCs/>
          <w:color w:val="2C3E50"/>
          <w:sz w:val="24"/>
          <w:szCs w:val="24"/>
        </w:rPr>
        <w:t xml:space="preserve">Domain Modules</w:t>
      </w:r>
    </w:p>
    <w:p>
      <w:pPr>
        <w:pStyle w:val="ListParagraph"/>
        <w:numPr>
          <w:ilvl w:val="0"/>
          <w:numId w:val="2"/>
        </w:numPr>
        <w:spacing w:after="60"/>
      </w:pPr>
      <w:r>
        <w:rPr>
          <w:rFonts w:ascii="Arial" w:cs="Arial" w:eastAsia="Arial" w:hAnsi="Arial"/>
          <w:color w:val="2C3E50"/>
          <w:sz w:val="22"/>
          <w:szCs w:val="22"/>
        </w:rPr>
        <w:t xml:space="preserve">POST /api/v1/temple/donations — record donation, post to GL</w:t>
      </w:r>
    </w:p>
    <w:p>
      <w:pPr>
        <w:pStyle w:val="ListParagraph"/>
        <w:numPr>
          <w:ilvl w:val="0"/>
          <w:numId w:val="2"/>
        </w:numPr>
        <w:spacing w:after="60"/>
      </w:pPr>
      <w:r>
        <w:rPr>
          <w:rFonts w:ascii="Arial" w:cs="Arial" w:eastAsia="Arial" w:hAnsi="Arial"/>
          <w:color w:val="2C3E50"/>
          <w:sz w:val="22"/>
          <w:szCs w:val="22"/>
        </w:rPr>
        <w:t xml:space="preserve">POST /api/v1/housing/maintenance-collections — record collection, post to GL</w:t>
      </w:r>
    </w:p>
    <w:p>
      <w:pPr>
        <w:pStyle w:val="ListParagraph"/>
        <w:numPr>
          <w:ilvl w:val="0"/>
          <w:numId w:val="2"/>
        </w:numPr>
        <w:spacing w:after="60"/>
      </w:pPr>
      <w:r>
        <w:rPr>
          <w:rFonts w:ascii="Arial" w:cs="Arial" w:eastAsia="Arial" w:hAnsi="Arial"/>
          <w:color w:val="2C3E50"/>
          <w:sz w:val="22"/>
          <w:szCs w:val="22"/>
        </w:rPr>
        <w:t xml:space="preserve">POST /api/v1/legal/cases — create case</w:t>
      </w:r>
    </w:p>
    <w:p>
      <w:pPr>
        <w:pStyle w:val="ListParagraph"/>
        <w:numPr>
          <w:ilvl w:val="0"/>
          <w:numId w:val="2"/>
        </w:numPr>
        <w:spacing w:after="60"/>
      </w:pPr>
      <w:r>
        <w:rPr>
          <w:rFonts w:ascii="Arial" w:cs="Arial" w:eastAsia="Arial" w:hAnsi="Arial"/>
          <w:color w:val="2C3E50"/>
          <w:sz w:val="22"/>
          <w:szCs w:val="22"/>
        </w:rPr>
        <w:t xml:space="preserve">GET /api/v1/legal/cases — list cases (tenant-scoped)</w:t>
      </w:r>
    </w:p>
    <w:p>
      <w:pPr>
        <w:pStyle w:val="ListParagraph"/>
        <w:numPr>
          <w:ilvl w:val="0"/>
          <w:numId w:val="2"/>
        </w:numPr>
        <w:spacing w:after="60"/>
      </w:pPr>
      <w:r>
        <w:rPr>
          <w:rFonts w:ascii="Arial" w:cs="Arial" w:eastAsia="Arial" w:hAnsi="Arial"/>
          <w:color w:val="2C3E50"/>
          <w:sz w:val="22"/>
          <w:szCs w:val="22"/>
        </w:rPr>
        <w:t xml:space="preserve">POST /api/v1/investment/holdings — record holding</w:t>
      </w:r>
    </w:p>
    <w:p>
      <w:pPr>
        <w:pStyle w:val="ListParagraph"/>
        <w:numPr>
          <w:ilvl w:val="0"/>
          <w:numId w:val="2"/>
        </w:numPr>
        <w:spacing w:after="60"/>
      </w:pPr>
      <w:r>
        <w:rPr>
          <w:rFonts w:ascii="Arial" w:cs="Arial" w:eastAsia="Arial" w:hAnsi="Arial"/>
          <w:color w:val="2C3E50"/>
          <w:sz w:val="22"/>
          <w:szCs w:val="22"/>
        </w:rPr>
        <w:t xml:space="preserve">GET /api/v1/investment/holdings — list holdings</w:t>
      </w:r>
    </w:p>
    <w:p>
      <w:r>
        <w:br w:type="page"/>
      </w:r>
    </w:p>
    <w:p>
      <w:pPr>
        <w:spacing w:after="60" w:before="200"/>
      </w:pPr>
      <w:r>
        <w:rPr>
          <w:rFonts w:ascii="Arial" w:cs="Arial" w:eastAsia="Arial" w:hAnsi="Arial"/>
          <w:b/>
          <w:bCs/>
          <w:color w:val="1B4F8A"/>
          <w:sz w:val="48"/>
          <w:szCs w:val="48"/>
        </w:rPr>
        <w:t xml:space="preserve">8. Migration &amp; Roadmap</w:t>
      </w:r>
    </w:p>
    <w:p>
      <w:pPr>
        <w:spacing w:after="300"/>
      </w:pPr>
      <w:r>
        <w:rPr>
          <w:rFonts w:ascii="Arial" w:cs="Arial" w:eastAsia="Arial" w:hAnsi="Arial"/>
          <w:i/>
          <w:iCs/>
          <w:color w:val="7F8C8D"/>
          <w:sz w:val="24"/>
          <w:szCs w:val="24"/>
        </w:rPr>
        <w:t xml:space="preserve">Phase-wise Evolution Plan</w:t>
      </w:r>
    </w:p>
    <w:p>
      <w:pPr>
        <w:pBdr>
          <w:bottom w:val="single" w:color="D5D8DC" w:sz="2" w:space="1"/>
        </w:pBdr>
        <w:spacing w:after="200"/>
      </w:pPr>
    </w:p>
    <w:p>
      <w:pPr>
        <w:pStyle w:val="Heading1"/>
        <w:pBdr>
          <w:bottom w:val="single" w:color="1B4F8A" w:sz="6" w:space="1"/>
        </w:pBdr>
        <w:spacing w:after="120" w:before="360"/>
      </w:pPr>
      <w:r>
        <w:rPr>
          <w:rFonts w:ascii="Arial" w:cs="Arial" w:eastAsia="Arial" w:hAnsi="Arial"/>
          <w:b/>
          <w:bCs/>
          <w:color w:val="1B4F8A"/>
          <w:sz w:val="36"/>
          <w:szCs w:val="36"/>
        </w:rPr>
        <w:t xml:space="preserve">Current State (Week 2 Baseline)</w:t>
      </w:r>
    </w:p>
    <w:p>
      <w:pPr>
        <w:pStyle w:val="ListParagraph"/>
        <w:numPr>
          <w:ilvl w:val="0"/>
          <w:numId w:val="2"/>
        </w:numPr>
        <w:spacing w:after="60"/>
      </w:pPr>
      <w:r>
        <w:rPr>
          <w:rFonts w:ascii="Arial" w:cs="Arial" w:eastAsia="Arial" w:hAnsi="Arial"/>
          <w:color w:val="2C3E50"/>
          <w:sz w:val="22"/>
          <w:szCs w:val="22"/>
        </w:rPr>
        <w:t xml:space="preserve">✅ Unified FastAPI backend serving all 5 products from one process</w:t>
      </w:r>
    </w:p>
    <w:p>
      <w:pPr>
        <w:pStyle w:val="ListParagraph"/>
        <w:numPr>
          <w:ilvl w:val="0"/>
          <w:numId w:val="2"/>
        </w:numPr>
        <w:spacing w:after="60"/>
      </w:pPr>
      <w:r>
        <w:rPr>
          <w:rFonts w:ascii="Arial" w:cs="Arial" w:eastAsia="Arial" w:hAnsi="Arial"/>
          <w:color w:val="2C3E50"/>
          <w:sz w:val="22"/>
          <w:szCs w:val="22"/>
        </w:rPr>
        <w:t xml:space="preserve">✅ Multi-tenant middleware with JWT-based tenant isolation</w:t>
      </w:r>
    </w:p>
    <w:p>
      <w:pPr>
        <w:pStyle w:val="ListParagraph"/>
        <w:numPr>
          <w:ilvl w:val="0"/>
          <w:numId w:val="2"/>
        </w:numPr>
        <w:spacing w:after="60"/>
      </w:pPr>
      <w:r>
        <w:rPr>
          <w:rFonts w:ascii="Arial" w:cs="Arial" w:eastAsia="Arial" w:hAnsi="Arial"/>
          <w:color w:val="2C3E50"/>
          <w:sz w:val="22"/>
          <w:szCs w:val="22"/>
        </w:rPr>
        <w:t xml:space="preserve">✅ Double-entry accounting engine on PostgreSQL</w:t>
      </w:r>
    </w:p>
    <w:p>
      <w:pPr>
        <w:pStyle w:val="ListParagraph"/>
        <w:numPr>
          <w:ilvl w:val="0"/>
          <w:numId w:val="2"/>
        </w:numPr>
        <w:spacing w:after="60"/>
      </w:pPr>
      <w:r>
        <w:rPr>
          <w:rFonts w:ascii="Arial" w:cs="Arial" w:eastAsia="Arial" w:hAnsi="Arial"/>
          <w:color w:val="2C3E50"/>
          <w:sz w:val="22"/>
          <w:szCs w:val="22"/>
        </w:rPr>
        <w:t xml:space="preserve">✅ COA mapping wizard for source → canonical account normalisation</w:t>
      </w:r>
    </w:p>
    <w:p>
      <w:pPr>
        <w:pStyle w:val="ListParagraph"/>
        <w:numPr>
          <w:ilvl w:val="0"/>
          <w:numId w:val="2"/>
        </w:numPr>
        <w:spacing w:after="60"/>
      </w:pPr>
      <w:r>
        <w:rPr>
          <w:rFonts w:ascii="Arial" w:cs="Arial" w:eastAsia="Arial" w:hAnsi="Arial"/>
          <w:color w:val="2C3E50"/>
          <w:sz w:val="22"/>
          <w:szCs w:val="22"/>
        </w:rPr>
        <w:t xml:space="preserve">✅ Temple donations and Housing maintenance posting to shared GL</w:t>
      </w:r>
    </w:p>
    <w:p>
      <w:pPr>
        <w:pStyle w:val="ListParagraph"/>
        <w:numPr>
          <w:ilvl w:val="0"/>
          <w:numId w:val="2"/>
        </w:numPr>
        <w:spacing w:after="60"/>
      </w:pPr>
      <w:r>
        <w:rPr>
          <w:rFonts w:ascii="Arial" w:cs="Arial" w:eastAsia="Arial" w:hAnsi="Arial"/>
          <w:color w:val="2C3E50"/>
          <w:sz w:val="22"/>
          <w:szCs w:val="22"/>
        </w:rPr>
        <w:t xml:space="preserve">✅ LegalMitra and InvestMitra with stub routes and tenant scoping</w:t>
      </w:r>
    </w:p>
    <w:p>
      <w:pPr>
        <w:pStyle w:val="ListParagraph"/>
        <w:numPr>
          <w:ilvl w:val="0"/>
          <w:numId w:val="2"/>
        </w:numPr>
        <w:spacing w:after="60"/>
      </w:pPr>
      <w:r>
        <w:rPr>
          <w:rFonts w:ascii="Arial" w:cs="Arial" w:eastAsia="Arial" w:hAnsi="Arial"/>
          <w:color w:val="2C3E50"/>
          <w:sz w:val="22"/>
          <w:szCs w:val="22"/>
        </w:rPr>
        <w:t xml:space="preserve">✅ RBAC with 5 roles</w:t>
      </w:r>
    </w:p>
    <w:p>
      <w:pPr>
        <w:pStyle w:val="ListParagraph"/>
        <w:numPr>
          <w:ilvl w:val="0"/>
          <w:numId w:val="2"/>
        </w:numPr>
        <w:spacing w:after="60"/>
      </w:pPr>
      <w:r>
        <w:rPr>
          <w:rFonts w:ascii="Arial" w:cs="Arial" w:eastAsia="Arial" w:hAnsi="Arial"/>
          <w:color w:val="2C3E50"/>
          <w:sz w:val="22"/>
          <w:szCs w:val="22"/>
        </w:rPr>
        <w:t xml:space="preserve">✅ Alembic migration scaffolding</w:t>
      </w:r>
    </w:p>
    <w:p>
      <w:pPr>
        <w:pStyle w:val="ListParagraph"/>
        <w:numPr>
          <w:ilvl w:val="0"/>
          <w:numId w:val="2"/>
        </w:numPr>
        <w:spacing w:after="60"/>
      </w:pPr>
      <w:r>
        <w:rPr>
          <w:rFonts w:ascii="Arial" w:cs="Arial" w:eastAsia="Arial" w:hAnsi="Arial"/>
          <w:color w:val="2C3E50"/>
          <w:sz w:val="22"/>
          <w:szCs w:val="22"/>
        </w:rPr>
        <w:t xml:space="preserve">✅ Cross-DB compensating rollback</w:t>
      </w:r>
    </w:p>
    <w:p>
      <w:pPr>
        <w:pStyle w:val="ListParagraph"/>
        <w:numPr>
          <w:ilvl w:val="0"/>
          <w:numId w:val="2"/>
        </w:numPr>
        <w:spacing w:after="60"/>
      </w:pPr>
      <w:r>
        <w:rPr>
          <w:rFonts w:ascii="Arial" w:cs="Arial" w:eastAsia="Arial" w:hAnsi="Arial"/>
          <w:color w:val="2C3E50"/>
          <w:sz w:val="22"/>
          <w:szCs w:val="22"/>
        </w:rPr>
        <w:t xml:space="preserve">✅ RAG ingestion and hybrid retrieval (Phase 2 — partially scaffolded)</w:t>
      </w:r>
    </w:p>
    <w:p>
      <w:pPr>
        <w:pStyle w:val="ListParagraph"/>
        <w:numPr>
          <w:ilvl w:val="0"/>
          <w:numId w:val="2"/>
        </w:numPr>
        <w:spacing w:after="60"/>
      </w:pPr>
      <w:r>
        <w:rPr>
          <w:rFonts w:ascii="Arial" w:cs="Arial" w:eastAsia="Arial" w:hAnsi="Arial"/>
          <w:color w:val="2C3E50"/>
          <w:sz w:val="22"/>
          <w:szCs w:val="22"/>
        </w:rPr>
        <w:t xml:space="preserve">⚠️ MitraBooks Business module — accounting engine ready, domain module pending</w:t>
      </w:r>
    </w:p>
    <w:p>
      <w:pPr>
        <w:pStyle w:val="ListParagraph"/>
        <w:numPr>
          <w:ilvl w:val="0"/>
          <w:numId w:val="2"/>
        </w:numPr>
        <w:spacing w:after="60"/>
      </w:pPr>
      <w:r>
        <w:rPr>
          <w:rFonts w:ascii="Arial" w:cs="Arial" w:eastAsia="Arial" w:hAnsi="Arial"/>
          <w:color w:val="2C3E50"/>
          <w:sz w:val="22"/>
          <w:szCs w:val="22"/>
        </w:rPr>
        <w:t xml:space="preserve">⚠️ Frontend consolidation — 5 separate frontends, unified frontend pending</w:t>
      </w:r>
    </w:p>
    <w:p>
      <w:pPr>
        <w:pStyle w:val="ListParagraph"/>
        <w:numPr>
          <w:ilvl w:val="0"/>
          <w:numId w:val="2"/>
        </w:numPr>
        <w:spacing w:after="60"/>
      </w:pPr>
      <w:r>
        <w:rPr>
          <w:rFonts w:ascii="Arial" w:cs="Arial" w:eastAsia="Arial" w:hAnsi="Arial"/>
          <w:color w:val="2C3E50"/>
          <w:sz w:val="22"/>
          <w:szCs w:val="22"/>
        </w:rPr>
        <w:t xml:space="preserve">⚠️ organization_type field on tenant — partially aligned via app_key, needs formal field</w:t>
      </w:r>
    </w:p>
    <w:p>
      <w:pPr>
        <w:pStyle w:val="Heading2"/>
        <w:spacing w:after="80" w:before="240"/>
      </w:pPr>
      <w:r>
        <w:rPr>
          <w:rFonts w:ascii="Arial" w:cs="Arial" w:eastAsia="Arial" w:hAnsi="Arial"/>
          <w:b/>
          <w:bCs/>
          <w:color w:val="2E86C1"/>
          <w:sz w:val="28"/>
          <w:szCs w:val="28"/>
        </w:rPr>
        <w:t xml:space="preserve">Phase 1 — Foundation Hardening (Weeks 3–4)</w:t>
      </w:r>
    </w:p>
    <w:p>
      <w:pPr>
        <w:pStyle w:val="Heading3"/>
        <w:spacing w:after="60" w:before="160"/>
      </w:pPr>
      <w:r>
        <w:rPr>
          <w:rFonts w:ascii="Arial" w:cs="Arial" w:eastAsia="Arial" w:hAnsi="Arial"/>
          <w:b/>
          <w:bCs/>
          <w:color w:val="2C3E50"/>
          <w:sz w:val="24"/>
          <w:szCs w:val="24"/>
        </w:rPr>
        <w:t xml:space="preserve">Backend</w:t>
      </w:r>
    </w:p>
    <w:p>
      <w:pPr>
        <w:pStyle w:val="ListParagraph"/>
        <w:numPr>
          <w:ilvl w:val="0"/>
          <w:numId w:val="2"/>
        </w:numPr>
        <w:spacing w:after="60"/>
      </w:pPr>
      <w:r>
        <w:rPr>
          <w:rFonts w:ascii="Arial" w:cs="Arial" w:eastAsia="Arial" w:hAnsi="Arial"/>
          <w:color w:val="2C3E50"/>
          <w:sz w:val="22"/>
          <w:szCs w:val="22"/>
        </w:rPr>
        <w:t xml:space="preserve">Add organization_type enum to tenant model — HOUSING | TEMPLE | BUSINESS | PROFESSIONAL | LEGAL | INVESTMENT</w:t>
      </w:r>
    </w:p>
    <w:p>
      <w:pPr>
        <w:pStyle w:val="ListParagraph"/>
        <w:numPr>
          <w:ilvl w:val="0"/>
          <w:numId w:val="2"/>
        </w:numPr>
        <w:spacing w:after="60"/>
      </w:pPr>
      <w:r>
        <w:rPr>
          <w:rFonts w:ascii="Arial" w:cs="Arial" w:eastAsia="Arial" w:hAnsi="Arial"/>
          <w:color w:val="2C3E50"/>
          <w:sz w:val="22"/>
          <w:szCs w:val="22"/>
        </w:rPr>
        <w:t xml:space="preserve">Add enabled_modules list to tenant model — derived from org_type + subscription_plan</w:t>
      </w:r>
    </w:p>
    <w:p>
      <w:pPr>
        <w:pStyle w:val="ListParagraph"/>
        <w:numPr>
          <w:ilvl w:val="0"/>
          <w:numId w:val="2"/>
        </w:numPr>
        <w:spacing w:after="60"/>
      </w:pPr>
      <w:r>
        <w:rPr>
          <w:rFonts w:ascii="Arial" w:cs="Arial" w:eastAsia="Arial" w:hAnsi="Arial"/>
          <w:color w:val="2C3E50"/>
          <w:sz w:val="22"/>
          <w:szCs w:val="22"/>
        </w:rPr>
        <w:t xml:space="preserve">Create module registry service — single source of truth for module → org_type mapping</w:t>
      </w:r>
    </w:p>
    <w:p>
      <w:pPr>
        <w:pStyle w:val="ListParagraph"/>
        <w:numPr>
          <w:ilvl w:val="0"/>
          <w:numId w:val="2"/>
        </w:numPr>
        <w:spacing w:after="60"/>
      </w:pPr>
      <w:r>
        <w:rPr>
          <w:rFonts w:ascii="Arial" w:cs="Arial" w:eastAsia="Arial" w:hAnsi="Arial"/>
          <w:color w:val="2C3E50"/>
          <w:sz w:val="22"/>
          <w:szCs w:val="22"/>
        </w:rPr>
        <w:t xml:space="preserve">Add feature flag enforcement to all module routes</w:t>
      </w:r>
    </w:p>
    <w:p>
      <w:pPr>
        <w:pStyle w:val="ListParagraph"/>
        <w:numPr>
          <w:ilvl w:val="0"/>
          <w:numId w:val="2"/>
        </w:numPr>
        <w:spacing w:after="60"/>
      </w:pPr>
      <w:r>
        <w:rPr>
          <w:rFonts w:ascii="Arial" w:cs="Arial" w:eastAsia="Arial" w:hAnsi="Arial"/>
          <w:color w:val="2C3E50"/>
          <w:sz w:val="22"/>
          <w:szCs w:val="22"/>
        </w:rPr>
        <w:t xml:space="preserve">Complete test suite — tenant isolation, accounting invariants, RBAC deny/allow paths</w:t>
      </w:r>
    </w:p>
    <w:p>
      <w:pPr>
        <w:pStyle w:val="Heading3"/>
        <w:spacing w:after="60" w:before="160"/>
      </w:pPr>
      <w:r>
        <w:rPr>
          <w:rFonts w:ascii="Arial" w:cs="Arial" w:eastAsia="Arial" w:hAnsi="Arial"/>
          <w:b/>
          <w:bCs/>
          <w:color w:val="2C3E50"/>
          <w:sz w:val="24"/>
          <w:szCs w:val="24"/>
        </w:rPr>
        <w:t xml:space="preserve">MitraBooks Business Module</w:t>
      </w:r>
    </w:p>
    <w:p>
      <w:pPr>
        <w:pStyle w:val="ListParagraph"/>
        <w:numPr>
          <w:ilvl w:val="0"/>
          <w:numId w:val="2"/>
        </w:numPr>
        <w:spacing w:after="60"/>
      </w:pPr>
      <w:r>
        <w:rPr>
          <w:rFonts w:ascii="Arial" w:cs="Arial" w:eastAsia="Arial" w:hAnsi="Arial"/>
          <w:color w:val="2C3E50"/>
          <w:sz w:val="22"/>
          <w:szCs w:val="22"/>
        </w:rPr>
        <w:t xml:space="preserve">Add customers, vendors MongoDB collections</w:t>
      </w:r>
    </w:p>
    <w:p>
      <w:pPr>
        <w:pStyle w:val="ListParagraph"/>
        <w:numPr>
          <w:ilvl w:val="0"/>
          <w:numId w:val="2"/>
        </w:numPr>
        <w:spacing w:after="60"/>
      </w:pPr>
      <w:r>
        <w:rPr>
          <w:rFonts w:ascii="Arial" w:cs="Arial" w:eastAsia="Arial" w:hAnsi="Arial"/>
          <w:color w:val="2C3E50"/>
          <w:sz w:val="22"/>
          <w:szCs w:val="22"/>
        </w:rPr>
        <w:t xml:space="preserve">Add invoices model with GST computation</w:t>
      </w:r>
    </w:p>
    <w:p>
      <w:pPr>
        <w:pStyle w:val="ListParagraph"/>
        <w:numPr>
          <w:ilvl w:val="0"/>
          <w:numId w:val="2"/>
        </w:numPr>
        <w:spacing w:after="60"/>
      </w:pPr>
      <w:r>
        <w:rPr>
          <w:rFonts w:ascii="Arial" w:cs="Arial" w:eastAsia="Arial" w:hAnsi="Arial"/>
          <w:color w:val="2C3E50"/>
          <w:sz w:val="22"/>
          <w:szCs w:val="22"/>
        </w:rPr>
        <w:t xml:space="preserve">Add inventory (stock_items, stock_movements) MongoDB collections</w:t>
      </w:r>
    </w:p>
    <w:p>
      <w:pPr>
        <w:pStyle w:val="ListParagraph"/>
        <w:numPr>
          <w:ilvl w:val="0"/>
          <w:numId w:val="2"/>
        </w:numPr>
        <w:spacing w:after="60"/>
      </w:pPr>
      <w:r>
        <w:rPr>
          <w:rFonts w:ascii="Arial" w:cs="Arial" w:eastAsia="Arial" w:hAnsi="Arial"/>
          <w:color w:val="2C3E50"/>
          <w:sz w:val="22"/>
          <w:szCs w:val="22"/>
        </w:rPr>
        <w:t xml:space="preserve">Connect invoice posting to shared GL via accounting service</w:t>
      </w:r>
    </w:p>
    <w:p>
      <w:pPr>
        <w:pStyle w:val="Heading2"/>
        <w:spacing w:after="80" w:before="240"/>
      </w:pPr>
      <w:r>
        <w:rPr>
          <w:rFonts w:ascii="Arial" w:cs="Arial" w:eastAsia="Arial" w:hAnsi="Arial"/>
          <w:b/>
          <w:bCs/>
          <w:color w:val="2E86C1"/>
          <w:sz w:val="28"/>
          <w:szCs w:val="28"/>
        </w:rPr>
        <w:t xml:space="preserve">Phase 2 — Frontend Merge (Weeks 5–8)</w:t>
      </w:r>
    </w:p>
    <w:p>
      <w:pPr>
        <w:pStyle w:val="ListParagraph"/>
        <w:numPr>
          <w:ilvl w:val="0"/>
          <w:numId w:val="2"/>
        </w:numPr>
        <w:spacing w:after="60"/>
      </w:pPr>
      <w:r>
        <w:rPr>
          <w:rFonts w:ascii="Arial" w:cs="Arial" w:eastAsia="Arial" w:hAnsi="Arial"/>
          <w:color w:val="2C3E50"/>
          <w:sz w:val="22"/>
          <w:szCs w:val="22"/>
        </w:rPr>
        <w:t xml:space="preserve">Create single React shell: MitraBooks Unified</w:t>
      </w:r>
    </w:p>
    <w:p>
      <w:pPr>
        <w:pStyle w:val="ListParagraph"/>
        <w:numPr>
          <w:ilvl w:val="0"/>
          <w:numId w:val="2"/>
        </w:numPr>
        <w:spacing w:after="60"/>
      </w:pPr>
      <w:r>
        <w:rPr>
          <w:rFonts w:ascii="Arial" w:cs="Arial" w:eastAsia="Arial" w:hAnsi="Arial"/>
          <w:color w:val="2C3E50"/>
          <w:sz w:val="22"/>
          <w:szCs w:val="22"/>
        </w:rPr>
        <w:t xml:space="preserve">Implement dynamic menu rendering from API: GET /api/v1/me returns org_type + enabled_modules</w:t>
      </w:r>
    </w:p>
    <w:p>
      <w:pPr>
        <w:pStyle w:val="ListParagraph"/>
        <w:numPr>
          <w:ilvl w:val="0"/>
          <w:numId w:val="2"/>
        </w:numPr>
        <w:spacing w:after="60"/>
      </w:pPr>
      <w:r>
        <w:rPr>
          <w:rFonts w:ascii="Arial" w:cs="Arial" w:eastAsia="Arial" w:hAnsi="Arial"/>
          <w:color w:val="2C3E50"/>
          <w:sz w:val="22"/>
          <w:szCs w:val="22"/>
        </w:rPr>
        <w:t xml:space="preserve">GharMitra, MandirMitra, MitraBooks frontends migrate to unified shell one at a time</w:t>
      </w:r>
    </w:p>
    <w:p>
      <w:pPr>
        <w:pStyle w:val="ListParagraph"/>
        <w:numPr>
          <w:ilvl w:val="0"/>
          <w:numId w:val="2"/>
        </w:numPr>
        <w:spacing w:after="60"/>
      </w:pPr>
      <w:r>
        <w:rPr>
          <w:rFonts w:ascii="Arial" w:cs="Arial" w:eastAsia="Arial" w:hAnsi="Arial"/>
          <w:color w:val="2C3E50"/>
          <w:sz w:val="22"/>
          <w:szCs w:val="22"/>
        </w:rPr>
        <w:t xml:space="preserve">LegalMitra and InvestMitra remain separate (distinct UX requirements)</w:t>
      </w:r>
    </w:p>
    <w:p>
      <w:pPr>
        <w:pStyle w:val="ListParagraph"/>
        <w:numPr>
          <w:ilvl w:val="0"/>
          <w:numId w:val="2"/>
        </w:numPr>
        <w:spacing w:after="60"/>
      </w:pPr>
      <w:r>
        <w:rPr>
          <w:rFonts w:ascii="Arial" w:cs="Arial" w:eastAsia="Arial" w:hAnsi="Arial"/>
          <w:color w:val="2C3E50"/>
          <w:sz w:val="22"/>
          <w:szCs w:val="22"/>
        </w:rPr>
        <w:t xml:space="preserve">Feature flag UI: premium features show locked state for lower plans</w:t>
      </w:r>
    </w:p>
    <w:p>
      <w:pPr>
        <w:pStyle w:val="Heading2"/>
        <w:spacing w:after="80" w:before="240"/>
      </w:pPr>
      <w:r>
        <w:rPr>
          <w:rFonts w:ascii="Arial" w:cs="Arial" w:eastAsia="Arial" w:hAnsi="Arial"/>
          <w:b/>
          <w:bCs/>
          <w:color w:val="2E86C1"/>
          <w:sz w:val="28"/>
          <w:szCs w:val="28"/>
        </w:rPr>
        <w:t xml:space="preserve">Phase 3 — SaaS Subscription Layer (Weeks 9–12)</w:t>
      </w:r>
    </w:p>
    <w:p>
      <w:pPr>
        <w:pStyle w:val="ListParagraph"/>
        <w:numPr>
          <w:ilvl w:val="0"/>
          <w:numId w:val="2"/>
        </w:numPr>
        <w:spacing w:after="60"/>
      </w:pPr>
      <w:r>
        <w:rPr>
          <w:rFonts w:ascii="Arial" w:cs="Arial" w:eastAsia="Arial" w:hAnsi="Arial"/>
          <w:color w:val="2C3E50"/>
          <w:sz w:val="22"/>
          <w:szCs w:val="22"/>
        </w:rPr>
        <w:t xml:space="preserve">Razorpay subscription integration — plan activation, renewal, failure handling</w:t>
      </w:r>
    </w:p>
    <w:p>
      <w:pPr>
        <w:pStyle w:val="ListParagraph"/>
        <w:numPr>
          <w:ilvl w:val="0"/>
          <w:numId w:val="2"/>
        </w:numPr>
        <w:spacing w:after="60"/>
      </w:pPr>
      <w:r>
        <w:rPr>
          <w:rFonts w:ascii="Arial" w:cs="Arial" w:eastAsia="Arial" w:hAnsi="Arial"/>
          <w:color w:val="2C3E50"/>
          <w:sz w:val="22"/>
          <w:szCs w:val="22"/>
        </w:rPr>
        <w:t xml:space="preserve">Module gating by subscription_plan enforced at API level</w:t>
      </w:r>
    </w:p>
    <w:p>
      <w:pPr>
        <w:pStyle w:val="ListParagraph"/>
        <w:numPr>
          <w:ilvl w:val="0"/>
          <w:numId w:val="2"/>
        </w:numPr>
        <w:spacing w:after="60"/>
      </w:pPr>
      <w:r>
        <w:rPr>
          <w:rFonts w:ascii="Arial" w:cs="Arial" w:eastAsia="Arial" w:hAnsi="Arial"/>
          <w:color w:val="2C3E50"/>
          <w:sz w:val="22"/>
          <w:szCs w:val="22"/>
        </w:rPr>
        <w:t xml:space="preserve">Self-service onboarding: tenant registers, picks plan, pays, gets activated</w:t>
      </w:r>
    </w:p>
    <w:p>
      <w:pPr>
        <w:pStyle w:val="ListParagraph"/>
        <w:numPr>
          <w:ilvl w:val="0"/>
          <w:numId w:val="2"/>
        </w:numPr>
        <w:spacing w:after="60"/>
      </w:pPr>
      <w:r>
        <w:rPr>
          <w:rFonts w:ascii="Arial" w:cs="Arial" w:eastAsia="Arial" w:hAnsi="Arial"/>
          <w:color w:val="2C3E50"/>
          <w:sz w:val="22"/>
          <w:szCs w:val="22"/>
        </w:rPr>
        <w:t xml:space="preserve">Admin dashboard for tenant management, MRR tracking, churn monitoring</w:t>
      </w:r>
    </w:p>
    <w:p>
      <w:pPr>
        <w:pStyle w:val="Heading2"/>
        <w:spacing w:after="80" w:before="240"/>
      </w:pPr>
      <w:r>
        <w:rPr>
          <w:rFonts w:ascii="Arial" w:cs="Arial" w:eastAsia="Arial" w:hAnsi="Arial"/>
          <w:b/>
          <w:bCs/>
          <w:color w:val="2E86C1"/>
          <w:sz w:val="28"/>
          <w:szCs w:val="28"/>
        </w:rPr>
        <w:t xml:space="preserve">Phase 4 — AI &amp; Insights Layer (Weeks 13–20)</w:t>
      </w:r>
    </w:p>
    <w:p>
      <w:pPr>
        <w:pStyle w:val="ListParagraph"/>
        <w:numPr>
          <w:ilvl w:val="0"/>
          <w:numId w:val="2"/>
        </w:numPr>
        <w:spacing w:after="60"/>
      </w:pPr>
      <w:r>
        <w:rPr>
          <w:rFonts w:ascii="Arial" w:cs="Arial" w:eastAsia="Arial" w:hAnsi="Arial"/>
          <w:color w:val="2C3E50"/>
          <w:sz w:val="22"/>
          <w:szCs w:val="22"/>
        </w:rPr>
        <w:t xml:space="preserve">AI MIS summaries — natural language P&amp;L, cash flow narratives</w:t>
      </w:r>
    </w:p>
    <w:p>
      <w:pPr>
        <w:pStyle w:val="ListParagraph"/>
        <w:numPr>
          <w:ilvl w:val="0"/>
          <w:numId w:val="2"/>
        </w:numPr>
        <w:spacing w:after="60"/>
      </w:pPr>
      <w:r>
        <w:rPr>
          <w:rFonts w:ascii="Arial" w:cs="Arial" w:eastAsia="Arial" w:hAnsi="Arial"/>
          <w:color w:val="2C3E50"/>
          <w:sz w:val="22"/>
          <w:szCs w:val="22"/>
        </w:rPr>
        <w:t xml:space="preserve">Anomaly detection — flag unusual journal entries, duplicate postings</w:t>
      </w:r>
    </w:p>
    <w:p>
      <w:pPr>
        <w:pStyle w:val="ListParagraph"/>
        <w:numPr>
          <w:ilvl w:val="0"/>
          <w:numId w:val="2"/>
        </w:numPr>
        <w:spacing w:after="60"/>
      </w:pPr>
      <w:r>
        <w:rPr>
          <w:rFonts w:ascii="Arial" w:cs="Arial" w:eastAsia="Arial" w:hAnsi="Arial"/>
          <w:color w:val="2C3E50"/>
          <w:sz w:val="22"/>
          <w:szCs w:val="22"/>
        </w:rPr>
        <w:t xml:space="preserve">AI tax insights — GST reconciliation alerts, TDS reminders</w:t>
      </w:r>
    </w:p>
    <w:p>
      <w:pPr>
        <w:pStyle w:val="ListParagraph"/>
        <w:numPr>
          <w:ilvl w:val="0"/>
          <w:numId w:val="2"/>
        </w:numPr>
        <w:spacing w:after="60"/>
      </w:pPr>
      <w:r>
        <w:rPr>
          <w:rFonts w:ascii="Arial" w:cs="Arial" w:eastAsia="Arial" w:hAnsi="Arial"/>
          <w:color w:val="2C3E50"/>
          <w:sz w:val="22"/>
          <w:szCs w:val="22"/>
        </w:rPr>
        <w:t xml:space="preserve">AI forecasting — cash flow projection based on historical patterns</w:t>
      </w:r>
    </w:p>
    <w:p>
      <w:pPr>
        <w:pStyle w:val="ListParagraph"/>
        <w:numPr>
          <w:ilvl w:val="0"/>
          <w:numId w:val="2"/>
        </w:numPr>
        <w:spacing w:after="60"/>
      </w:pPr>
      <w:r>
        <w:rPr>
          <w:rFonts w:ascii="Arial" w:cs="Arial" w:eastAsia="Arial" w:hAnsi="Arial"/>
          <w:color w:val="2C3E50"/>
          <w:sz w:val="22"/>
          <w:szCs w:val="22"/>
        </w:rPr>
        <w:t xml:space="preserve">Legal RAG production deployment — Gemini embeddings, jurisdiction filters</w:t>
      </w:r>
    </w:p>
    <w:p>
      <w:pPr>
        <w:pStyle w:val="ListParagraph"/>
        <w:numPr>
          <w:ilvl w:val="0"/>
          <w:numId w:val="2"/>
        </w:numPr>
        <w:spacing w:after="60"/>
      </w:pPr>
      <w:r>
        <w:rPr>
          <w:rFonts w:ascii="Arial" w:cs="Arial" w:eastAsia="Arial" w:hAnsi="Arial"/>
          <w:color w:val="2C3E50"/>
          <w:sz w:val="22"/>
          <w:szCs w:val="22"/>
        </w:rPr>
        <w:t xml:space="preserve">AI fraud detection for high-value transactions</w:t>
      </w:r>
    </w:p>
    <w:p>
      <w:pPr>
        <w:pStyle w:val="Heading2"/>
        <w:spacing w:after="80" w:before="240"/>
      </w:pPr>
      <w:r>
        <w:rPr>
          <w:rFonts w:ascii="Arial" w:cs="Arial" w:eastAsia="Arial" w:hAnsi="Arial"/>
          <w:b/>
          <w:bCs/>
          <w:color w:val="2E86C1"/>
          <w:sz w:val="28"/>
          <w:szCs w:val="28"/>
        </w:rPr>
        <w:t xml:space="preserve">Phase 5 — Enterprise &amp; Scale (Week 21+)</w:t>
      </w:r>
    </w:p>
    <w:p>
      <w:pPr>
        <w:pStyle w:val="ListParagraph"/>
        <w:numPr>
          <w:ilvl w:val="0"/>
          <w:numId w:val="2"/>
        </w:numPr>
        <w:spacing w:after="60"/>
      </w:pPr>
      <w:r>
        <w:rPr>
          <w:rFonts w:ascii="Arial" w:cs="Arial" w:eastAsia="Arial" w:hAnsi="Arial"/>
          <w:color w:val="2C3E50"/>
          <w:sz w:val="22"/>
          <w:szCs w:val="22"/>
        </w:rPr>
        <w:t xml:space="preserve">Multi-currency support</w:t>
      </w:r>
    </w:p>
    <w:p>
      <w:pPr>
        <w:pStyle w:val="ListParagraph"/>
        <w:numPr>
          <w:ilvl w:val="0"/>
          <w:numId w:val="2"/>
        </w:numPr>
        <w:spacing w:after="60"/>
      </w:pPr>
      <w:r>
        <w:rPr>
          <w:rFonts w:ascii="Arial" w:cs="Arial" w:eastAsia="Arial" w:hAnsi="Arial"/>
          <w:color w:val="2C3E50"/>
          <w:sz w:val="22"/>
          <w:szCs w:val="22"/>
        </w:rPr>
        <w:t xml:space="preserve">Bank API integration (account statement auto-import for reconciliation)</w:t>
      </w:r>
    </w:p>
    <w:p>
      <w:pPr>
        <w:pStyle w:val="ListParagraph"/>
        <w:numPr>
          <w:ilvl w:val="0"/>
          <w:numId w:val="2"/>
        </w:numPr>
        <w:spacing w:after="60"/>
      </w:pPr>
      <w:r>
        <w:rPr>
          <w:rFonts w:ascii="Arial" w:cs="Arial" w:eastAsia="Arial" w:hAnsi="Arial"/>
          <w:color w:val="2C3E50"/>
          <w:sz w:val="22"/>
          <w:szCs w:val="22"/>
        </w:rPr>
        <w:t xml:space="preserve">WhatsApp notification integration</w:t>
      </w:r>
    </w:p>
    <w:p>
      <w:pPr>
        <w:pStyle w:val="ListParagraph"/>
        <w:numPr>
          <w:ilvl w:val="0"/>
          <w:numId w:val="2"/>
        </w:numPr>
        <w:spacing w:after="60"/>
      </w:pPr>
      <w:r>
        <w:rPr>
          <w:rFonts w:ascii="Arial" w:cs="Arial" w:eastAsia="Arial" w:hAnsi="Arial"/>
          <w:color w:val="2C3E50"/>
          <w:sz w:val="22"/>
          <w:szCs w:val="22"/>
        </w:rPr>
        <w:t xml:space="preserve">Bulk data import tools for migrating from Tally/Zoho</w:t>
      </w:r>
    </w:p>
    <w:p>
      <w:pPr>
        <w:pStyle w:val="ListParagraph"/>
        <w:numPr>
          <w:ilvl w:val="0"/>
          <w:numId w:val="2"/>
        </w:numPr>
        <w:spacing w:after="60"/>
      </w:pPr>
      <w:r>
        <w:rPr>
          <w:rFonts w:ascii="Arial" w:cs="Arial" w:eastAsia="Arial" w:hAnsi="Arial"/>
          <w:color w:val="2C3E50"/>
          <w:sz w:val="22"/>
          <w:szCs w:val="22"/>
        </w:rPr>
        <w:t xml:space="preserve">Mobile app (React Native) — read-only dashboard initially</w:t>
      </w:r>
    </w:p>
    <w:p>
      <w:pPr>
        <w:pStyle w:val="ListParagraph"/>
        <w:numPr>
          <w:ilvl w:val="0"/>
          <w:numId w:val="2"/>
        </w:numPr>
        <w:spacing w:after="60"/>
      </w:pPr>
      <w:r>
        <w:rPr>
          <w:rFonts w:ascii="Arial" w:cs="Arial" w:eastAsia="Arial" w:hAnsi="Arial"/>
          <w:color w:val="2C3E50"/>
          <w:sz w:val="22"/>
          <w:szCs w:val="22"/>
        </w:rPr>
        <w:t xml:space="preserve">Microservices extraction if individual modules need independent scaling</w:t>
      </w:r>
    </w:p>
    <w:p>
      <w:pPr>
        <w:pStyle w:val="Heading2"/>
        <w:spacing w:after="80" w:before="240"/>
      </w:pPr>
      <w:r>
        <w:rPr>
          <w:rFonts w:ascii="Arial" w:cs="Arial" w:eastAsia="Arial" w:hAnsi="Arial"/>
          <w:b/>
          <w:bCs/>
          <w:color w:val="2E86C1"/>
          <w:sz w:val="28"/>
          <w:szCs w:val="28"/>
        </w:rPr>
        <w:t xml:space="preserve">Migration Execution Order</w:t>
      </w:r>
    </w:p>
    <w:p>
      <w:pPr>
        <w:spacing w:after="100"/>
      </w:pPr>
      <w:r>
        <w:rPr>
          <w:rFonts w:ascii="Arial" w:cs="Arial" w:eastAsia="Arial" w:hAnsi="Arial"/>
          <w:b/>
          <w:bCs/>
          <w:i w:val="false"/>
          <w:iCs w:val="false"/>
          <w:color w:val="2C3E50"/>
          <w:sz w:val="22"/>
          <w:szCs w:val="22"/>
        </w:rPr>
        <w:t xml:space="preserve">When migrating existing client data from separate apps to the unified platform:</w:t>
      </w:r>
    </w:p>
    <w:p>
      <w:pPr>
        <w:spacing w:after="100"/>
      </w:pPr>
      <w:r>
        <w:rPr>
          <w:rFonts w:ascii="Arial" w:cs="Arial" w:eastAsia="Arial" w:hAnsi="Arial"/>
          <w:b w:val="false"/>
          <w:bCs w:val="false"/>
          <w:i w:val="false"/>
          <w:iCs w:val="false"/>
          <w:color w:val="2C3E50"/>
          <w:sz w:val="22"/>
          <w:szCs w:val="22"/>
        </w:rPr>
        <w:t xml:space="preserve">1. MandirMitra → shared backend (COA mapping + journal posting already built)</w:t>
      </w:r>
    </w:p>
    <w:p>
      <w:pPr>
        <w:spacing w:after="100"/>
      </w:pPr>
      <w:r>
        <w:rPr>
          <w:rFonts w:ascii="Arial" w:cs="Arial" w:eastAsia="Arial" w:hAnsi="Arial"/>
          <w:b w:val="false"/>
          <w:bCs w:val="false"/>
          <w:i w:val="false"/>
          <w:iCs w:val="false"/>
          <w:color w:val="2C3E50"/>
          <w:sz w:val="22"/>
          <w:szCs w:val="22"/>
        </w:rPr>
        <w:t xml:space="preserve">2. GharMitra → shared backend (maintenance collection posting already built)</w:t>
      </w:r>
    </w:p>
    <w:p>
      <w:pPr>
        <w:spacing w:after="100"/>
      </w:pPr>
      <w:r>
        <w:rPr>
          <w:rFonts w:ascii="Arial" w:cs="Arial" w:eastAsia="Arial" w:hAnsi="Arial"/>
          <w:b w:val="false"/>
          <w:bCs w:val="false"/>
          <w:i w:val="false"/>
          <w:iCs w:val="false"/>
          <w:color w:val="2C3E50"/>
          <w:sz w:val="22"/>
          <w:szCs w:val="22"/>
        </w:rPr>
        <w:t xml:space="preserve">3. MitraBooks → shared backend (after Business module domain tables are built)</w:t>
      </w:r>
    </w:p>
    <w:p>
      <w:pPr>
        <w:spacing w:after="100"/>
      </w:pPr>
      <w:r>
        <w:rPr>
          <w:rFonts w:ascii="Arial" w:cs="Arial" w:eastAsia="Arial" w:hAnsi="Arial"/>
          <w:b w:val="false"/>
          <w:bCs w:val="false"/>
          <w:i w:val="false"/>
          <w:iCs w:val="false"/>
          <w:color w:val="2C3E50"/>
          <w:sz w:val="22"/>
          <w:szCs w:val="22"/>
        </w:rPr>
        <w:t xml:space="preserve">4. LegalMitra + InvestMitra → full feature completion</w:t>
      </w:r>
    </w:p>
    <w:p>
      <w:pPr>
        <w:spacing w:after="80" w:before="80"/>
        <w:ind w:left="360"/>
      </w:pPr>
      <w:r>
        <w:rPr>
          <w:rFonts w:ascii="Arial" w:cs="Arial" w:eastAsia="Arial" w:hAnsi="Arial"/>
          <w:i/>
          <w:iCs/>
          <w:color w:val="5D6D7E"/>
          <w:sz w:val="20"/>
          <w:szCs w:val="20"/>
        </w:rPr>
        <w:t xml:space="preserve">💡 Do not migrate a product to production until: (a) tenant isolation tests pass, (b) accounting invariant tests pass, (c) COA mapping is complete with zero unmapped accounts.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1"/>
      </w:pBdr>
    </w:pPr>
    <w:r>
      <w:rPr>
        <w:rFonts w:ascii="Arial" w:cs="Arial" w:eastAsia="Arial" w:hAnsi="Arial"/>
        <w:color w:val="7F8C8D"/>
        <w:sz w:val="18"/>
        <w:szCs w:val="18"/>
      </w:rPr>
      <w:t xml:space="preserve">© 2026 SanMitra Tech Solutions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color w:val="7F8C8D"/>
        <w:sz w:val="18"/>
        <w:szCs w:val="18"/>
      </w:rPr>
      <w:t xml:space="preserve">SanMitra Tech Solutions — Unified Platform Documentation</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2026-05-15T06:55:08.110Z</dcterms:created>
  <dcterms:modified xsi:type="dcterms:W3CDTF">2026-05-15T06:55:08.110Z</dcterms:modified>
</cp:coreProperties>
</file>

<file path=docProps/custom.xml><?xml version="1.0" encoding="utf-8"?>
<Properties xmlns="http://schemas.openxmlformats.org/officeDocument/2006/custom-properties" xmlns:vt="http://schemas.openxmlformats.org/officeDocument/2006/docPropsVTypes"/>
</file>