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JONATHAN WILLIAM HAYES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75B6"/>
          <w:spacing w:val="60"/>
          <w:sz w:val="26"/>
          <w:szCs w:val="26"/>
        </w:rPr>
        <w:t xml:space="preserve">SENIOR FINANCIAL ANALYST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New York, NY   |   (212) 555-0348   |   jonathan.hayes@email.com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E75B6"/>
          <w:sz w:val="18"/>
          <w:szCs w:val="18"/>
        </w:rPr>
        <w:t xml:space="preserve">LinkedIn: linkedin.com/in/jonathanhayesfinance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| </w:t>
      </w:r>
      <w:r>
        <w:rPr>
          <w:rFonts w:ascii="Calibri" w:cs="Calibri" w:eastAsia="Calibri" w:hAnsi="Calibri"/>
          <w:color w:val="2E75B6"/>
          <w:sz w:val="18"/>
          <w:szCs w:val="18"/>
        </w:rPr>
        <w:t xml:space="preserve">  Portfolio: jonathanhayesfinance.com</w:t>
      </w:r>
    </w:p>
    <w:p>
      <w:pPr>
        <w:pBdr>
          <w:bottom w:val="single" w:color="1F4E79" w:sz="8" w:space="1"/>
        </w:pBdr>
        <w:spacing w:after="160"/>
      </w:pP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PROFESSIONAL SUMMARY</w:t>
      </w:r>
    </w:p>
    <w:p>
      <w:pPr>
        <w:spacing w:after="200" w:before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Results-oriented Senior Financial Analyst with 9+ years of experience in financial modeling, forecasting, budgeting, and investment analysis within Fortune 500 environments. Demonstrated ability to deliver data-driven insights that optimize capital allocation, reduce operating costs, and support strategic decision-making at the executive level. Deep expertise in corporate finance, FP&amp;A, valuation, and financial reporting under US GAAP and IFRS. Adept at translating complex financial data into clear business narratives for C-suite and Board-level stakeholders.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CORE COMPETENCIES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Financial Modeling &amp; Forecasting (DCF, LBO, M&amp;A)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Financial Planning &amp; Analysis (FP&amp;A)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Budgeting, Variance Analysis &amp; Cost Control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Investment Analysis &amp; Portfolio Management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Financial Reporting (US GAAP / IFRS)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Corporate Valuation &amp; Due Diligence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Risk Management &amp; Regulatory Compliance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Business Intelligence &amp; Data Analytics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Capital Markets &amp; Treasury Operations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Strategic Planning &amp; Executive Presentations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PROFESSIONAL EXPERIENCE</w:t>
      </w:r>
    </w:p>
    <w:p>
      <w:pPr>
        <w:tabs>
          <w:tab w:val="right" w:pos="10080"/>
        </w:tabs>
        <w:spacing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Senior Financial Analyst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	Feb 2020 – Present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BlackRock Asset Management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  -  New York, NY</w:t>
      </w:r>
    </w:p>
    <w:p>
      <w:pPr>
        <w:pStyle w:val="ListParagraph"/>
        <w:numPr>
          <w:ilvl w:val="0"/>
          <w:numId w:val="2"/>
        </w:numPr>
        <w:spacing w:after="60" w:before="24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Lead financial modeling and valuation analysis for an equity portfolio exceeding $2.8B AUM, delivering quarterly performance reports to senior investment committee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14.3% portfolio return in FY2023</w:t>
      </w:r>
      <w:r>
        <w:rPr>
          <w:rFonts w:ascii="Calibri" w:cs="Calibri" w:eastAsia="Calibri" w:hAnsi="Calibri"/>
          <w:sz w:val="22"/>
          <w:szCs w:val="22"/>
        </w:rPr>
        <w:t xml:space="preserve">Developed a dynamic 5-year DCF model that improved investment decision accuracy, contributing to a 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Spearheaded the annual budgeting process across 6 business units, consolidating $480M in operating expenditures with zero variance exceptions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Built automated financial dashboards using Power BI and Excel VBA, reducing monthly reporting cycle from 12 days to 3 days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Conducted M&amp;A due diligence for 4 acquisition targets totaling $620M in enterprise value, providing buy/sell recommendations adopted by the CFO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Collaborated with Risk Management to develop stress-testing models under multiple macroeconomic scenarios, improving portfolio resilience metrics by 18%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Mentored a team of 3 junior analysts, establishing standardized financial modeling protocols and review frameworks</w:t>
      </w:r>
    </w:p>
    <w:p>
      <w:pPr>
        <w:tabs>
          <w:tab w:val="right" w:pos="10080"/>
        </w:tabs>
        <w:spacing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Financial Analyst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	Mar 2017 – Jan 2020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Goldman Sachs Group Inc.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  -  New York, NY</w:t>
      </w:r>
    </w:p>
    <w:p>
      <w:pPr>
        <w:pStyle w:val="ListParagraph"/>
        <w:numPr>
          <w:ilvl w:val="0"/>
          <w:numId w:val="2"/>
        </w:numPr>
        <w:spacing w:after="60" w:before="24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Supported the Investment Banking Division in preparing financial models, pitch books, and valuation analyses for IPO, M&amp;A, and capital raising transactions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Analyzed P&amp;L statements, balance sheets, and cash flow reports for 20+ client engagements annually, identifying cost-saving opportunities averaging $1.2M per engagement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Built LBO models for 6 private equity transactions ranging from $150M to $900M, achieving valuation accuracy within 3% of final deal pricing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Prepared monthly management accounts and board-level financial summaries presented to C-suite executives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Assisted in the implementation of SAP S/4HANA for financial consolidation, reducing month-end close time by 40%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Ensured compliance with SEC reporting requirements, internal audit standards, and Sarbanes-Oxley (SOX) controls</w:t>
      </w:r>
    </w:p>
    <w:p>
      <w:pPr>
        <w:tabs>
          <w:tab w:val="right" w:pos="10080"/>
        </w:tabs>
        <w:spacing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Junior Financial Analyst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	Jul 2015 – Feb 2017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Deloitte Financial Advisory Services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  -  New York, NY</w:t>
      </w:r>
    </w:p>
    <w:p>
      <w:pPr>
        <w:pStyle w:val="ListParagraph"/>
        <w:numPr>
          <w:ilvl w:val="0"/>
          <w:numId w:val="2"/>
        </w:numPr>
        <w:spacing w:after="60" w:before="24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Supported senior analysts in financial due diligence, forensic accounting, and restructuring advisory for mid-market clients across healthcare, retail, and technology sectors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Prepared detailed working capital analyses and cash flow projections for 15+ client engagements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Reconciled complex multi-entity financial statements and assisted in identifying $3.4M in previously undetected cost inefficiencies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Produced industry benchmark reports and competitive financial analyses to support client strategy presentations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EDUCATION</w:t>
      </w:r>
    </w:p>
    <w:p>
      <w:pPr>
        <w:tabs>
          <w:tab w:val="right" w:pos="10080"/>
        </w:tabs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Master of Business Administration (MBA) – Finance &amp; Investments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	Graduated: May 2015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Columbia Business School, New York, NY   |   GPA: 3.9 / 4.0</w:t>
      </w:r>
    </w:p>
    <w:p>
      <w:pPr>
        <w:tabs>
          <w:tab w:val="right" w:pos="10080"/>
        </w:tabs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Science (BS) – Finance &amp; Economics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	Graduated: May 2013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University of Pennsylvania (Wharton School), Philadelphia, PA   |   GPA: 3.8 / 4.0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CERTIFICATIONS &amp; PROFESSIONAL DEVELOPMENT</w:t>
      </w:r>
    </w:p>
    <w:p>
      <w:pPr>
        <w:pStyle w:val="ListParagraph"/>
        <w:numPr>
          <w:ilvl w:val="0"/>
          <w:numId w:val="3"/>
        </w:numPr>
        <w:spacing w:after="60" w:before="10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Chartered Financial Analyst (CFA) – Level III Charterholder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CFA Institute, 2019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Financial Risk Manager (FRM)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GARP, 2020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Certified Public Accountant (CPA)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AICPA, 2016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Bloomberg Market Concepts (BMC) Certification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Bloomberg, 2018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Advanced Financial Modeling &amp; Valuation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Wall Street Prep, 2021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TOOLS &amp; TECHNOLOGIES</w:t>
      </w:r>
    </w:p>
    <w:p>
      <w:pPr>
        <w:pStyle w:val="ListParagraph"/>
        <w:numPr>
          <w:ilvl w:val="0"/>
          <w:numId w:val="4"/>
        </w:numPr>
        <w:spacing w:after="60" w:before="10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Financial Modeling &amp; Analysis: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Microsoft Excel (Advanced VBA/Macros), Bloomberg Terminal, FactSet, Capital IQ</w:t>
      </w:r>
    </w:p>
    <w:p>
      <w:pPr>
        <w:pStyle w:val="ListParagraph"/>
        <w:numPr>
          <w:ilvl w:val="0"/>
          <w:numId w:val="4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ERP &amp; Accounting: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SAP S/4HANA, Oracle Financials, NetSuite, QuickBooks Enterprise</w:t>
      </w:r>
    </w:p>
    <w:p>
      <w:pPr>
        <w:pStyle w:val="ListParagraph"/>
        <w:numPr>
          <w:ilvl w:val="0"/>
          <w:numId w:val="4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Intelligence: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Power BI, Tableau, SQL, Python (Pandas, NumPy)</w:t>
      </w:r>
    </w:p>
    <w:p>
      <w:pPr>
        <w:pStyle w:val="ListParagraph"/>
        <w:numPr>
          <w:ilvl w:val="0"/>
          <w:numId w:val="4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Other: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Microsoft Office 365, Salesforce, DocuSign, Workiva, Hyperion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KEY ACHIEVEMENTS</w:t>
      </w:r>
    </w:p>
    <w:p>
      <w:pPr>
        <w:pStyle w:val="ListParagraph"/>
        <w:numPr>
          <w:ilvl w:val="0"/>
          <w:numId w:val="5"/>
        </w:numPr>
        <w:spacing w:after="60" w:before="10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Award: "Top Performing Analyst" – BlackRock Asset Management, 2022 &amp; 2023 (consecutive years)</w:t>
      </w:r>
    </w:p>
    <w:p>
      <w:pPr>
        <w:pStyle w:val="ListParagraph"/>
        <w:numPr>
          <w:ilvl w:val="0"/>
          <w:numId w:val="5"/>
        </w:numPr>
        <w:spacing w:after="60"/>
        <w:ind w:left="709" w:hanging="425"/>
      </w:pPr>
      <w:r>
        <w:rPr>
          <w:rFonts w:ascii="Calibri" w:cs="Calibri" w:eastAsia="Calibri" w:hAnsi="Calibri"/>
          <w:sz w:val="22"/>
          <w:szCs w:val="22"/>
        </w:rPr>
        <w:t xml:space="preserve">Identified $7.6M in cost reduction opportunities across 3 BlackRock business units through zero-based budgeting analysis</w:t>
      </w:r>
    </w:p>
    <w:p>
      <w:pPr>
        <w:pStyle w:val="ListParagraph"/>
        <w:numPr>
          <w:ilvl w:val="0"/>
          <w:numId w:val="5"/>
        </w:numPr>
        <w:spacing w:after="60"/>
        <w:ind w:left="709" w:hanging="425"/>
      </w:pPr>
      <w:r>
        <w:rPr>
          <w:rFonts w:ascii="Calibri" w:cs="Calibri" w:eastAsia="Calibri" w:hAnsi="Calibri"/>
          <w:sz w:val="22"/>
          <w:szCs w:val="22"/>
        </w:rPr>
        <w:t xml:space="preserve">Passed all three CFA levels on first attempt – achieved by fewer than 10% of candidates globally</w:t>
      </w:r>
    </w:p>
    <w:p>
      <w:pPr>
        <w:pStyle w:val="ListParagraph"/>
        <w:numPr>
          <w:ilvl w:val="0"/>
          <w:numId w:val="5"/>
        </w:numPr>
        <w:spacing w:after="60"/>
        <w:ind w:left="709" w:hanging="425"/>
      </w:pPr>
      <w:r>
        <w:rPr>
          <w:rFonts w:ascii="Calibri" w:cs="Calibri" w:eastAsia="Calibri" w:hAnsi="Calibri"/>
          <w:sz w:val="22"/>
          <w:szCs w:val="22"/>
        </w:rPr>
        <w:t xml:space="preserve">Speaker at CFA Institute Annual Conference 2023 – topic: "Integrating ESG Metrics into DCF Valuation Models"</w:t>
      </w:r>
    </w:p>
    <w:p>
      <w:pPr>
        <w:pStyle w:val="ListParagraph"/>
        <w:numPr>
          <w:ilvl w:val="0"/>
          <w:numId w:val="5"/>
        </w:numPr>
        <w:spacing w:after="60"/>
        <w:ind w:left="709" w:hanging="425"/>
      </w:pPr>
      <w:r>
        <w:rPr>
          <w:rFonts w:ascii="Calibri" w:cs="Calibri" w:eastAsia="Calibri" w:hAnsi="Calibri"/>
          <w:sz w:val="22"/>
          <w:szCs w:val="22"/>
        </w:rPr>
        <w:t xml:space="preserve">Published contributor to the Journal of Financial Analysis and Wall Street Oasis on topics of financial modeling best practices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09" w:hanging="42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09" w:hanging="425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09" w:hanging="42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09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au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2026-04-30T19:50:07.704Z</dcterms:created>
  <dcterms:modified xsi:type="dcterms:W3CDTF">2026-04-30T19:50:07.705Z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