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DR. NATALIE ANNE REYNOLDS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pacing w:val="60"/>
          <w:sz w:val="26"/>
          <w:szCs w:val="26"/>
        </w:rPr>
        <w:t xml:space="preserve">SENIOR REGISTERED NURSE | CLINICAL NURSE SPECIALIST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Boston, MA   |   (617) 555-0184   |   natalie.reynolds@email.com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E75B6"/>
          <w:sz w:val="18"/>
          <w:szCs w:val="18"/>
        </w:rPr>
        <w:t xml:space="preserve">LinkedIn: linkedin.com/in/nataliereynolds-rn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| </w:t>
      </w:r>
      <w:r>
        <w:rPr>
          <w:rFonts w:ascii="Calibri" w:cs="Calibri" w:eastAsia="Calibri" w:hAnsi="Calibri"/>
          <w:color w:val="2E75B6"/>
          <w:sz w:val="18"/>
          <w:szCs w:val="18"/>
        </w:rPr>
        <w:t xml:space="preserve">  NPI Number: 1234567890</w:t>
      </w:r>
    </w:p>
    <w:p>
      <w:pPr>
        <w:pBdr>
          <w:bottom w:val="single" w:color="1F4E79" w:sz="8" w:space="1"/>
        </w:pBdr>
        <w:spacing w:after="160"/>
      </w:pP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SUMMARY</w:t>
      </w:r>
    </w:p>
    <w:p>
      <w:pPr>
        <w:spacing w:after="200" w:before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Compassionate and highly skilled Senior Registered Nurse and Clinical Nurse Specialist with 11+ years of experience delivering exceptional patient care in high-acuity critical care, emergency, and surgical environments. Proven expertise in advanced clinical assessment, evidence-based practice, patient advocacy, and multidisciplinary team collaboration. Consistent track record of improving patient outcomes, reducing hospital readmission rates by up to 32%, and leading nursing teams of up to 20 staff. Committed to upholding the highest standards of clinical excellence, regulatory compliance, and patient-centered care across diverse healthcare settings.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CORE COMPETENCIES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Critical Care &amp; ICU Patient Management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Advanced Clinical Assessment &amp; Diagnosis Support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Evidence-Based Practice &amp; Quality Improvement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Emergency &amp; Trauma Care (ACLS, BLS, TNCC Certified)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Medication Administration &amp; Pharmacology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Patient &amp; Family Education and Advocacy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Multidisciplinary Team Collaboration &amp; Leadership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Electronic Health Records (EHR) – Epic, Cerner, Meditech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Infection Control &amp; HIPAA Regulatory Compliance</w:t>
      </w:r>
    </w:p>
    <w:p>
      <w:pPr>
        <w:spacing w:before="80"/>
      </w:pPr>
      <w:r>
        <w:rPr>
          <w:rFonts w:ascii="Calibri" w:cs="Calibri" w:eastAsia="Calibri" w:hAnsi="Calibri"/>
          <w:sz w:val="22"/>
          <w:szCs w:val="22"/>
        </w:rPr>
        <w:t xml:space="preserve">•</w:t>
      </w:r>
      <w:r>
        <w:rPr>
          <w:rFonts w:ascii="Calibri" w:cs="Calibri" w:eastAsia="Calibri" w:hAnsi="Calibri"/>
          <w:sz w:val="22"/>
          <w:szCs w:val="22"/>
        </w:rPr>
        <w:t xml:space="preserve">	Staff Mentoring, Training &amp; Performance Coaching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PROFESSIONAL EXPERIENCE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Clinical Nurse Specialist – Critical Care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Mar 2019 – Present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Massachusetts General Hospital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Boston, MA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Provide advanced clinical nursing care and specialist consultation for a 28-bed Medical-Surgical ICU serving 1,200+ critically ill patients annually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27% within 14 months of implementation</w:t>
      </w:r>
      <w:r>
        <w:rPr>
          <w:rFonts w:ascii="Calibri" w:cs="Calibri" w:eastAsia="Calibri" w:hAnsi="Calibri"/>
          <w:sz w:val="22"/>
          <w:szCs w:val="22"/>
        </w:rPr>
        <w:t xml:space="preserve">Led a hospital-wide evidence-based sepsis protocol initiative that reduced ICU sepsis mortality rate by 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Designed and delivered a 40-hour clinical competency training program for 85 ICU nurses, achieving a 96% post-training assessment pass rate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Reduced catheter-associated urinary tract infections (CAUTI) by 41% through introduction of a new catheter care bundle protocol adopted across 5 units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Collaborated with attending physicians, pharmacists, and respiratory therapists in daily interdisciplinary rounds, improving care coordination and reducing average ICU length of stay from 6.2 to 4.8 days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Mentored and supervised a team of 18 registered nurses and 6 nursing assistants, conducting monthly clinical performance reviews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Maintained 100% compliance with Joint Commission accreditation standards across all clinical documentation and practice audits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Senior Registered Nurse – Emergency Department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Jun 2016 – Feb 2019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Brigham and Women's Hospital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Boston, MA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Delivered high-acuity emergency nursing care in a Level 1 Trauma Center processing 72,000+ patient visits annually, managing caseloads of 10–14 patients per shift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door-to-physician time under 18 minutes</w:t>
      </w:r>
      <w:r>
        <w:rPr>
          <w:rFonts w:ascii="Calibri" w:cs="Calibri" w:eastAsia="Calibri" w:hAnsi="Calibri"/>
          <w:sz w:val="22"/>
          <w:szCs w:val="22"/>
        </w:rPr>
        <w:t xml:space="preserve">Triaged and stabilized trauma, cardiac, and neurological emergencies in collaboration with emergency physicians, achieving consistent 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Served as Charge Nurse for 12-hour shifts, overseeing staffing allocation, patient flow, and real-time escalation management for a 32-bed ED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Implemented a rapid sepsis screening tool at triage, reducing time-to-antibiotic administration by 35 minutes on average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Achieved patient satisfaction scores consistently in the 94th percentile through effective communication, pain management, and individualized care planning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Precepted 14 newly graduated nurses over 3 years, providing 6-week structured clinical orientation and ongoing mentorship</w:t>
      </w:r>
    </w:p>
    <w:p>
      <w:pPr>
        <w:tabs>
          <w:tab w:val="right" w:pos="10080"/>
        </w:tabs>
        <w:spacing w:before="18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Registered Nurse – Surgical &amp; Post-Operative Care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	Aug 2013 – May 2016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Boston Medical Center</w:t>
      </w:r>
      <w:r>
        <w:rPr>
          <w:rFonts w:ascii="Calibri" w:cs="Calibri" w:eastAsia="Calibri" w:hAnsi="Calibri"/>
          <w:color w:val="auto"/>
          <w:sz w:val="22"/>
          <w:szCs w:val="22"/>
        </w:rPr>
        <w:t xml:space="preserve">  -  Boston, MA</w:t>
      </w:r>
    </w:p>
    <w:p>
      <w:pPr>
        <w:pStyle w:val="ListParagraph"/>
        <w:numPr>
          <w:ilvl w:val="0"/>
          <w:numId w:val="2"/>
        </w:numPr>
        <w:spacing w:after="60" w:before="24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Provided comprehensive pre-operative, intra-operative support, and post-anesthesia care for patients undergoing general, orthopedic, and cardiothoracic surgical procedures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Monitored and managed post-operative complications, administering IV medications, blood transfusions, and pain management protocols for 8–10 patients per shift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Reduced post-operative patient falls to zero over an 18-month period through implementation of an enhanced hourly rounding protocol</w:t>
      </w:r>
    </w:p>
    <w:p>
      <w:pPr>
        <w:pStyle w:val="ListParagraph"/>
        <w:numPr>
          <w:ilvl w:val="0"/>
          <w:numId w:val="2"/>
        </w:numPr>
        <w:spacing w:after="60" w:before="0"/>
        <w:ind w:left="709" w:hanging="425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Maintained meticulous EHR documentation in Epic with a 99.8% on-time charting compliance rate across 3 years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EDUCATION</w:t>
      </w:r>
    </w:p>
    <w:p>
      <w:pPr>
        <w:tabs>
          <w:tab w:val="right" w:pos="10080"/>
        </w:tabs>
        <w:spacing w:after="40" w:before="1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Doctor of Nursing Practice (DNP) – Clinical Nurse Leadership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Graduated: May 2019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Johns Hopkins University School of Nursing, Baltimore, MD   |   GPA: 4.0 / 4.0</w:t>
      </w:r>
    </w:p>
    <w:p>
      <w:pPr>
        <w:tabs>
          <w:tab w:val="right" w:pos="10080"/>
        </w:tabs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Science in Nursing (BSN)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	Graduated: May 2013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Boston College William F. Connell School of Nursing, Boston, MA   |   GPA: 3.9 / 4.0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LICENSURE &amp; CERTIFICATIONS</w:t>
      </w:r>
    </w:p>
    <w:p>
      <w:pPr>
        <w:pStyle w:val="ListParagraph"/>
        <w:numPr>
          <w:ilvl w:val="0"/>
          <w:numId w:val="3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Registered Nurse (RN) License – Massachusetts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Massachusetts Board of Registration in Nursing, Active (Lic. #RN-2847610)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Clinical Nurse Specialist (CNS) – Adult-Gerontology Acute Care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AACN Certification Corporation, 2019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 Care Registered Nurse (CCRN)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AACN, 2020 (Recertified 2023)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Advanced Cardiovascular Life Support (ACLS)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American Heart Association, 2024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Basic Life Support (BLS) for Healthcare Providers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American Heart Association, 2024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Trauma Nursing Core Course (TNCC)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Emergency Nurses Association, 2022</w:t>
      </w:r>
    </w:p>
    <w:p>
      <w:pPr>
        <w:pStyle w:val="ListParagraph"/>
        <w:numPr>
          <w:ilvl w:val="0"/>
          <w:numId w:val="3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NIH Stroke Scale (NIHSS) Certification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–  NIH, 2021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CLINICAL SKILLS &amp; TECHNOLOGIES</w:t>
      </w:r>
    </w:p>
    <w:p>
      <w:pPr>
        <w:pStyle w:val="ListParagraph"/>
        <w:numPr>
          <w:ilvl w:val="0"/>
          <w:numId w:val="4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EHR / Clinical Systems: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Epic (Inpatient &amp; Ambulatory), Cerner PowerChart, Meditech, Pyxis MedStation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Critical Care Skills: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Arterial line management, Central venous catheter care, Mechanical ventilator management, Hemodynamic monitoring (Swan-Ganz), Continuous renal replacement therapy (CRRT)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Monitoring &amp; Equipment: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12-lead ECG interpretation, Bedside echocardiography support, Infusion pump management (Alaris, BD), Pulse oximetry, Capnography</w:t>
      </w:r>
    </w:p>
    <w:p>
      <w:pPr>
        <w:pStyle w:val="ListParagraph"/>
        <w:numPr>
          <w:ilvl w:val="0"/>
          <w:numId w:val="4"/>
        </w:numPr>
        <w:spacing w:after="60" w:before="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Other: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Microsoft Office 365, Tableau (clinical data reporting), REDCap (research data management)</w:t>
      </w:r>
    </w:p>
    <w:p>
      <w:pPr>
        <w:pBdr>
          <w:bottom w:val="thick" w:color="2E75B6" w:sz="6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4E79"/>
          <w:spacing w:val="40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5"/>
        </w:numPr>
        <w:spacing w:after="60" w:before="100"/>
        <w:ind w:left="709" w:hanging="425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Award: "Excellence in Nursing Practice" – Massachusetts General Hospital, 2022 &amp; 2023 (consecutive years)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Reduced ICU hospital-acquired pressure injuries (HAPI) by 38% through implementation of a revised skin assessment and repositioning protocol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Principal investigator on a departmental quality improvement study published in the American Journal of Critical Care (2022): "Impact of Nurse-Led Sepsis Bundles on ICU Mortality"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Speaker at the American Association of Critical-Care Nurses (AACN) National Teaching Institute 2023 – topic: "Reducing Sepsis Mortality Through Nurse-Driven Protocol Implementation"</w:t>
      </w:r>
    </w:p>
    <w:p>
      <w:pPr>
        <w:pStyle w:val="ListParagraph"/>
        <w:numPr>
          <w:ilvl w:val="0"/>
          <w:numId w:val="5"/>
        </w:numPr>
        <w:spacing w:after="60" w:before="0"/>
        <w:ind w:left="709" w:hanging="425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Volunteer clinical educator at Boston Health Care for the Homeless Program – delivering free health screenings and nursing education to underserved communities since 2017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09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au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2026-05-01T01:53:53.219Z</dcterms:created>
  <dcterms:modified xsi:type="dcterms:W3CDTF">2026-05-01T01:53:53.221Z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