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92.1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cf82d480-b41c-4efc-82cb-48a377390655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Diffusion models vs GANs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2026-05-11 14:53:36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16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0.52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68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semantic_scholar = 48%)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semantic_scholar supplies 48%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0.647  (44/68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0.541  cosine  (min=0.379  max=0.76)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What are the key use cases for Generative Adversarial Networ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44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0.975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4.33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4016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63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(38/38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0.756  cosine similarity (query vs report)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4.25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semantic_scholar supplies 48%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What are the key use cases for Generative Adversarial Networ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