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Práctica 3 – Máquina Cybox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https://www.youtube.com/watch?v=TAry1aYIaBg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→ Ejemplo de uso de la máquina cybox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máquina simula un servidor interno en una organización llamada Cybox, el objetivo es conseguir la flag de user.txt y de root.txt.</w:t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Descargar la máquina en Kali Linux y comprobar la integridad de la ova descargada.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Instalarla en Virtual Box. La máquina Kali Linux y la Máquina Cybox deben tener comunicación.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Realizar escaneo de puertos con Nmap  y Wireshark para que muestre las versiones de los servicios y  lance scripts para obtener más información. Pantallazo del resultado.</w:t>
      </w:r>
    </w:p>
    <w:p w:rsidR="00000000" w:rsidDel="00000000" w:rsidP="00000000" w:rsidRDefault="00000000" w:rsidRPr="00000000" w14:paraId="0000000B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jc w:val="both"/>
        <w:rPr/>
      </w:pPr>
      <w:bookmarkStart w:colFirst="0" w:colLast="0" w:name="_h68490irmdjt" w:id="2"/>
      <w:bookmarkEnd w:id="2"/>
      <w:r w:rsidDel="00000000" w:rsidR="00000000" w:rsidRPr="00000000">
        <w:rPr>
          <w:rtl w:val="0"/>
        </w:rPr>
        <w:t xml:space="preserve">Recursos adicionales</w:t>
      </w:r>
    </w:p>
    <w:p w:rsidR="00000000" w:rsidDel="00000000" w:rsidP="00000000" w:rsidRDefault="00000000" w:rsidRPr="00000000" w14:paraId="0000000D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Repositorio en github con la práctica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jc w:val="both"/>
        <w:rPr/>
      </w:pPr>
      <w:bookmarkStart w:colFirst="0" w:colLast="0" w:name="_ekh2w6cn9jew" w:id="3"/>
      <w:bookmarkEnd w:id="3"/>
      <w:r w:rsidDel="00000000" w:rsidR="00000000" w:rsidRPr="00000000">
        <w:rPr>
          <w:rtl w:val="0"/>
        </w:rPr>
        <w:t xml:space="preserve">Análisis completo con nmap</w:t>
      </w:r>
    </w:p>
    <w:p w:rsidR="00000000" w:rsidDel="00000000" w:rsidP="00000000" w:rsidRDefault="00000000" w:rsidRPr="00000000" w14:paraId="0000000F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Video en Asciinema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qtamp12ymbb2" w:id="4"/>
      <w:bookmarkEnd w:id="4"/>
      <w:r w:rsidDel="00000000" w:rsidR="00000000" w:rsidRPr="00000000">
        <w:rPr>
          <w:rtl w:val="0"/>
        </w:rPr>
        <w:t xml:space="preserve">Descubrimiento de FTP (21) en Wireshark</w:t>
      </w:r>
    </w:p>
    <w:tbl>
      <w:tblPr>
        <w:tblStyle w:val="Table1"/>
        <w:tblW w:w="9000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0"/>
        <w:tblGridChange w:id="0">
          <w:tblGrid>
            <w:gridCol w:w="90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81650" cy="38608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86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Descubrimiento del puerto 21 en Wireshark con información de la aplicación</w:t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3e9vpuwybn4r" w:id="5"/>
      <w:bookmarkEnd w:id="5"/>
      <w:r w:rsidDel="00000000" w:rsidR="00000000" w:rsidRPr="00000000">
        <w:rPr>
          <w:rtl w:val="0"/>
        </w:rPr>
        <w:t xml:space="preserve">Descubrimiento de SMTP (25) en Wireshark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0"/>
        <w:tblGridChange w:id="0">
          <w:tblGrid>
            <w:gridCol w:w="90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81650" cy="40005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400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Descubrimiento del puerto 25 en Wireshark con información de la aplicación</w:t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8dabgkkm3170" w:id="6"/>
      <w:bookmarkEnd w:id="6"/>
      <w:r w:rsidDel="00000000" w:rsidR="00000000" w:rsidRPr="00000000">
        <w:rPr>
          <w:rtl w:val="0"/>
        </w:rPr>
        <w:t xml:space="preserve">Descubrimiento de HTTP (80) en Wireshark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0"/>
        <w:tblGridChange w:id="0">
          <w:tblGrid>
            <w:gridCol w:w="90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2512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Descubrimiento del puerto 80 en Wireshark con información de la aplicación</w:t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ekb6cs3prfbu" w:id="7"/>
      <w:bookmarkEnd w:id="7"/>
      <w:r w:rsidDel="00000000" w:rsidR="00000000" w:rsidRPr="00000000">
        <w:rPr>
          <w:rtl w:val="0"/>
        </w:rPr>
        <w:t xml:space="preserve">Descubrimiento de POP (110) en Wireshark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0"/>
        <w:tblGridChange w:id="0">
          <w:tblGrid>
            <w:gridCol w:w="90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81650" cy="4025900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402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tl w:val="0"/>
              </w:rPr>
              <w:t xml:space="preserve">Descubrimiento del puerto 110 en Wireshark con información de la aplicación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line="276" w:lineRule="auto"/>
        <w:rPr/>
      </w:pPr>
      <w:bookmarkStart w:colFirst="0" w:colLast="0" w:name="_qznmhhjcteek" w:id="8"/>
      <w:bookmarkEnd w:id="8"/>
      <w:r w:rsidDel="00000000" w:rsidR="00000000" w:rsidRPr="00000000">
        <w:rPr>
          <w:rtl w:val="0"/>
        </w:rPr>
        <w:t xml:space="preserve">Descubrimiento de IMAP (143) en Wireshark</w:t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0"/>
        <w:tblGridChange w:id="0">
          <w:tblGrid>
            <w:gridCol w:w="90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81650" cy="257810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57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Descubrimiento del puerto 143 en Wireshark con información de la aplicación</w:t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spacing w:line="276" w:lineRule="auto"/>
        <w:rPr/>
      </w:pPr>
      <w:bookmarkStart w:colFirst="0" w:colLast="0" w:name="_i0kqy2osze13" w:id="9"/>
      <w:bookmarkEnd w:id="9"/>
      <w:r w:rsidDel="00000000" w:rsidR="00000000" w:rsidRPr="00000000">
        <w:rPr>
          <w:rtl w:val="0"/>
        </w:rPr>
        <w:t xml:space="preserve">Descubrimiento de HTTPS (443) en Wireshark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0"/>
        <w:tblGridChange w:id="0">
          <w:tblGrid>
            <w:gridCol w:w="90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67288" cy="3161772"/>
                  <wp:effectExtent b="0" l="0" r="0" t="0"/>
                  <wp:docPr id="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288" cy="31617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Recogiendo claves de encriptación para el puerto 443</w:t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0"/>
        <w:tblGridChange w:id="0">
          <w:tblGrid>
            <w:gridCol w:w="90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643313" cy="278511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313" cy="27851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Añadiendo las claves de encriptación a Wireshark</w:t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00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0"/>
        <w:tblGridChange w:id="0">
          <w:tblGrid>
            <w:gridCol w:w="90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81650" cy="4140200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414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Descubrimiento del puerto 443 en Wireshark con información de la aplicación</w:t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rial Unicode MS"/>
  <w:font w:name="Times New Roma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arlow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/>
    </w:pPr>
    <w:r w:rsidDel="00000000" w:rsidR="00000000" w:rsidRPr="00000000">
      <w:rPr>
        <w:rFonts w:ascii="Trebuchet MS" w:cs="Trebuchet MS" w:eastAsia="Trebuchet MS" w:hAnsi="Trebuchet MS"/>
        <w:sz w:val="18"/>
        <w:szCs w:val="18"/>
        <w:rtl w:val="0"/>
      </w:rPr>
      <w:t xml:space="preserve">   </w:t>
    </w:r>
    <w:r w:rsidDel="00000000" w:rsidR="00000000" w:rsidRPr="00000000">
      <w:rPr>
        <w:rFonts w:ascii="Barlow" w:cs="Barlow" w:eastAsia="Barlow" w:hAnsi="Barlow"/>
        <w:color w:val="424242"/>
        <w:sz w:val="24"/>
        <w:szCs w:val="24"/>
      </w:rPr>
      <w:drawing>
        <wp:inline distB="19050" distT="19050" distL="19050" distR="19050">
          <wp:extent cx="1656183" cy="576064"/>
          <wp:effectExtent b="0" l="0" r="0" t="0"/>
          <wp:docPr id="4" name="image6.jpg"/>
          <a:graphic>
            <a:graphicData uri="http://schemas.openxmlformats.org/drawingml/2006/picture">
              <pic:pic>
                <pic:nvPicPr>
                  <pic:cNvPr id="0" name="image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56183" cy="57606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Barlow" w:cs="Barlow" w:eastAsia="Barlow" w:hAnsi="Barlow"/>
        <w:color w:val="424242"/>
        <w:sz w:val="24"/>
        <w:szCs w:val="24"/>
      </w:rPr>
      <w:drawing>
        <wp:inline distB="19050" distT="19050" distL="19050" distR="19050">
          <wp:extent cx="2664294" cy="738850"/>
          <wp:effectExtent b="0" l="0" r="0" t="0"/>
          <wp:docPr descr="C:\Users\Usuario\Documents\Luis\FP Ciberseguridad\documentación\MINISTERIO DE EDUCACION Y FP.png" id="6" name="image3.png"/>
          <a:graphic>
            <a:graphicData uri="http://schemas.openxmlformats.org/drawingml/2006/picture">
              <pic:pic>
                <pic:nvPicPr>
                  <pic:cNvPr descr="C:\Users\Usuario\Documents\Luis\FP Ciberseguridad\documentación\MINISTERIO DE EDUCACION Y FP.png"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664294" cy="738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Barlow" w:cs="Barlow" w:eastAsia="Barlow" w:hAnsi="Barlow"/>
        <w:color w:val="424242"/>
        <w:sz w:val="24"/>
        <w:szCs w:val="24"/>
      </w:rPr>
      <w:drawing>
        <wp:inline distB="19050" distT="19050" distL="19050" distR="19050">
          <wp:extent cx="512512" cy="576063"/>
          <wp:effectExtent b="0" l="0" r="0" t="0"/>
          <wp:docPr id="5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12512" cy="5760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  <w:lang w:val="es"/>
      </w:rPr>
    </w:rPrDefault>
    <w:pPrDefault>
      <w:pPr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center"/>
    </w:pPr>
    <w:rPr>
      <w:rFonts w:ascii="Trebuchet MS" w:cs="Trebuchet MS" w:eastAsia="Trebuchet MS" w:hAnsi="Trebuchet MS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header" Target="header1.xml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TAry1aYIaBg" TargetMode="External"/><Relationship Id="rId18" Type="http://schemas.openxmlformats.org/officeDocument/2006/relationships/footer" Target="footer1.xml"/><Relationship Id="rId7" Type="http://schemas.openxmlformats.org/officeDocument/2006/relationships/hyperlink" Target="https://github.com/jayanezj/ceti-hacking-etico/tree/master/lesson-1/practice-3" TargetMode="External"/><Relationship Id="rId8" Type="http://schemas.openxmlformats.org/officeDocument/2006/relationships/hyperlink" Target="https://asciinema.org/a/AHIstAgMjzZ1yzsrZpyUGRsTv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Barlow-italic.ttf"/><Relationship Id="rId10" Type="http://schemas.openxmlformats.org/officeDocument/2006/relationships/font" Target="fonts/Barlow-bold.ttf"/><Relationship Id="rId12" Type="http://schemas.openxmlformats.org/officeDocument/2006/relationships/font" Target="fonts/Barlow-boldItalic.ttf"/><Relationship Id="rId9" Type="http://schemas.openxmlformats.org/officeDocument/2006/relationships/font" Target="fonts/Barlow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jpg"/><Relationship Id="rId2" Type="http://schemas.openxmlformats.org/officeDocument/2006/relationships/image" Target="media/image3.png"/><Relationship Id="rId3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