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0D1B2A"/>
          <w:sz w:val="72"/>
          <w:szCs w:val="72"/>
        </w:rPr>
        <w:t xml:space="preserve">QUANTEDGE</w:t>
      </w:r>
    </w:p>
    <w:p>
      <w:pPr>
        <w:spacing w:before="80"/>
        <w:jc w:val="center"/>
      </w:pPr>
      <w:r>
        <w:rPr>
          <w:rFonts w:ascii="Arial" w:cs="Arial" w:eastAsia="Arial" w:hAnsi="Arial"/>
          <w:b/>
          <w:bCs/>
          <w:color w:val="00C47D"/>
          <w:sz w:val="30"/>
          <w:szCs w:val="30"/>
        </w:rPr>
        <w:t xml:space="preserve">INSTITUTIONAL-GRADE AI TRADING DASHBOARD</w:t>
      </w:r>
    </w:p>
    <w:p>
      <w:pPr>
        <w:spacing w:before="200"/>
        <w:jc w:val="center"/>
      </w:pPr>
      <w:r>
        <w:rPr>
          <w:rFonts w:ascii="Arial" w:cs="Arial" w:eastAsia="Arial" w:hAnsi="Arial"/>
          <w:i/>
          <w:iCs/>
          <w:color w:val="334155"/>
          <w:sz w:val="26"/>
          <w:szCs w:val="26"/>
        </w:rPr>
        <w:t xml:space="preserve">Comprehensive Systems Audit Report</w:t>
      </w:r>
    </w:p>
    <w:p>
      <w:pPr>
        <w:spacing w:before="60"/>
        <w:jc w:val="center"/>
      </w:pPr>
      <w:r>
        <w:rPr>
          <w:rFonts w:ascii="Arial" w:cs="Arial" w:eastAsia="Arial" w:hAnsi="Arial"/>
          <w:color w:val="64748B"/>
          <w:sz w:val="22"/>
          <w:szCs w:val="22"/>
        </w:rPr>
        <w:t xml:space="preserve">Modules 1 through 8  |  Architecture, Logic &amp; Integration Verification</w:t>
      </w:r>
    </w:p>
    <w:p>
      <w:pPr>
        <w:pBdr>
          <w:top w:val="single" w:color="00C47D" w:sz="6"/>
          <w:bottom w:val="single" w:color="00C47D" w:sz="6"/>
        </w:pBdr>
        <w:spacing w:before="400"/>
        <w:jc w:val="center"/>
      </w:pPr>
      <w:r>
        <w:rPr>
          <w:rFonts w:ascii="Arial" w:cs="Arial" w:eastAsia="Arial" w:hAnsi="Arial"/>
          <w:color w:val="334155"/>
          <w:sz w:val="22"/>
          <w:szCs w:val="22"/>
        </w:rPr>
        <w:t xml:space="preserve">Auditor Role: Lead Systems Auditor &amp; Principal Quantitative Architect</w:t>
      </w:r>
    </w:p>
    <w:p>
      <w:pPr>
        <w:spacing w:before="80"/>
        <w:jc w:val="center"/>
      </w:pPr>
      <w:r>
        <w:rPr>
          <w:rFonts w:ascii="Arial" w:cs="Arial" w:eastAsia="Arial" w:hAnsi="Arial"/>
          <w:i/>
          <w:iCs/>
          <w:color w:val="64748B"/>
          <w:sz w:val="20"/>
          <w:szCs w:val="20"/>
        </w:rPr>
        <w:t xml:space="preserve">Classification: CONFIDENTIAL — Internal Technical Review</w:t>
      </w:r>
    </w:p>
    <w:p>
      <w:pPr>
        <w:spacing w:before="2880"/>
      </w:pPr>
      <w:r>
        <w:t xml:space="preserve"/>
      </w:r>
    </w:p>
    <w:p>
      <w:pPr>
        <w:pStyle w:val="Heading1"/>
      </w:pPr>
      <w:r>
        <w:rPr>
          <w:rFonts w:ascii="Arial" w:cs="Arial" w:eastAsia="Arial" w:hAnsi="Arial"/>
          <w:b/>
          <w:bCs/>
          <w:sz w:val="36"/>
          <w:szCs w:val="36"/>
        </w:rPr>
        <w:t xml:space="preserve">Section 1 — Module-by-Module Feature Breakdown</w:t>
      </w:r>
    </w:p>
    <w:p>
      <w:pPr>
        <w:pStyle w:val="Heading2"/>
      </w:pPr>
      <w:r>
        <w:rPr>
          <w:rFonts w:ascii="Arial" w:cs="Arial" w:eastAsia="Arial" w:hAnsi="Arial"/>
          <w:b/>
          <w:bCs/>
          <w:sz w:val="28"/>
          <w:szCs w:val="28"/>
        </w:rPr>
        <w:t xml:space="preserve">Module 1 — Core Architecture &amp; Database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FastAPI application with 4 SQLAlchemy/SQLite tables (holdings, historical_data, backtest_results, paper_trades). Zerodha CSV ingestion via multipart upload. yfinance-powered OHLCV downloader with batched upsert (500 rows/batch). Full CRUD API surface for holdings and historical data.</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Strict Logic Applied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Three-tier data quality gate hard-coded in data_quality.py: (1) &lt; 5 years → DataQuality.LOW_CONFIDENCE; (2) 5-9 years → DataQuality.INSUFFICIENT DATA; (3) ≥ 10 years → DataQuality.SUFFICIENT. Year computation uses 365.25 to account for leap years. MIN_YEARS_SUFFICIENT = 10, MIN_YEARS_CONFIDENCE = 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Zerodha Validation</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portfolio_parser.py enforces _REQUIRED_COLUMNS = {"instrument", "qty.", "avg. cost"}. Any missing column raises PortfolioParseError with exact message: "Portfolio file not found or invalid format – missing required column(s): 'X'". Headers matched case-insensitively after strip/lower normalisation.</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Zerodha CSV upload; yfinance API for OHLCV. OUTPUT: Holdings table (symbol, quantity, avg_price, data_quality), HistoricalData table (OHLCV bars with interval + quality flag). Consumed downstream by Modules 3, 4, 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2 — Authentication &amp; Security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Two-step login: (1) bcrypt password verify → OTP dispatch; (2) OTP verify → JWT issue. Brute-force lockout after 3 consecutive failures. Stateless HS256 JWT with configurable expiry. All downstream API routes protected by get_current_user() FastAPI dependency.</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Hardcoded Credentials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AUTH_USERNAME = "Jayank8294" and AUTH_PASSWORD = "Jayanju@9498" in core/config.py. Password hashed once on module import with passlib bcrypt (rounds=12, NIST-recommended). Timing-safe verification runs hash.verify() even on wrong usernames to prevent username enumeration.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OTP Security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6-digit OTP generated with secrets.SystemRandom(). Stored as bcrypt hash (never plaintext). Single-use enforcement: once verified, entry deleted immediately. 5-minute TTL enforced via monotonic clock. Delivered to jayankgajjala@gmail.com via Resend API (RESEND_API_KEY env var). Dev-mode fallback logs OTP to server console when key is unset.</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Brute-Force Protection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MAX_FAILED_ATTEMPTS=3 failures: locked_until = monotonic() + LOCKOUT_SECONDS (30.0s). Per-username asyncio.Lock prevents race conditions. Successful login resets counter via record_success(). HTTP 423 LOCKED returned during lockout window with seconds_remaining.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INPUT: {username, password} → {username, otp}. OUTPUT: JWT access token with sub, exp, iat, type claims. Token consumed as Authorization: Bearer header by all Modules 3-8 API calls.</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3 — Quantitative Strategy &amp; Regime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25+ pure NumPy/Pandas technical indicators (no TA-Lib dependency). RegimeDetector classifying Nifty 50 (^NSEI) into 4 states every 5 minutes. 8 strategy classes with vectorised generate_signals(). Full equity-curve backtest engine with commission simulation. CAGR, Sharpe, Max Drawdown, Win Rate, Sortino, Calmar, Profit Factor metrics.</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Regime Classification Rules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order: (1) VOLATILE_HIGH_RISK: ATR(14) percentile ≥ 80th of 252-day range — fires first, overrides all others; (2) STRONG_TREND: ADX &gt; 25 AND Close &gt; EMA(200); (3) BEAR_CRASHING: Close &lt; EMA(200) AND 20-day linear regression slope &lt; 0; (4) SIDEWAYS: ADX &lt; 20 AND price inside BB(20,2). Lookback = 200 bars on ^NSEI.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8 Strategy Classes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TrendEMACross (50/200 EMA cross + ADX&gt;25 filter), MomentumBreakout (52-wk high + volume&gt;2×avg), MeanReversionZScore (Z-Score ±2.0 on 20-day mean), FundamentalFilter (ROE&gt;15%, D/E&lt;1, PE&lt;5yr avg), SwingHighLow (pivot window breakout), VolumeSurge (OBV slope + CMF&gt;0.1), FactorMomentum (6m ROC + quality + MACD), BollingerReversion (%B + RSI at extremes).</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Accuracy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CAGR: ((final/initial)^(1/years) - 1) × 100. Sharpe: annualised excess return / std, RFR = 6.5% (Indian 10yr G-Sec). Max Drawdown: peak-to-trough on equity curve (returns negative %). Commission: 0.1% per side. Equity curve built bar-by-bar with fill simulation on close price.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INPUT: yfinance max-period daily OHLCV. OUTPUT: market_regime table (every 5 min), strategy_performance table (CAGR|Sharpe|WinRate|MaxDD per ticker per strategy). DataQuality flag attached to every row.</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4 — Regime-Aware Signal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RegimeAwareSignalEngine runs all 8 strategies per holding every scan cycle. Produces one FinalSignal per ticker with entry, SL, Target 1/2, R:R, ADX, RSI, volume ratio, confidence score, and regime context. JSON output precisely matches frontend spec.</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Selection Matrix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STRONG_TREND → Trend/Momentum strategies, ranked by highest Sharpe Ratio. SIDEWAYS → Mean Reversion/Swing, ranked by highest Win Rate. VOLATILE → MR only if Win Rate &gt; 65%, otherwise force CASH. BEAR → Fundamental first, MR fallback. All selections query StrategyPerformance table (Module 3 output).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Agreement Factor</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AGREEMENT_THRESHOLD = 3 strategies. If ≥3 agree on same direction: AGREEMENT_BONUS = +20.0 confidence points. BIAS_HOLD_PCT = 0.80: if ≥80% of all scan signals are HOLD, emits bias warning with BIAS_CONFIDENCE_PENALTY = −10 points.</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Signal Validation Gates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4 gates must pass: (1) Volatile regime suppresses BUY → CASH; (2) Stale candle (&gt;15 min old) → HOLD; (3) Volume ratio &lt; 1.5× 20-bar avg → HOLD (volume not confirmed); (4) R:R &lt; 1.5 → HOLD. Stop-loss placed at 1.5×ATR below entry, Target 1 at 2.0×ATR, Target 2 at 3.5×ATR.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INPUT: market_regime table, strategy_performance table, live yfinance 5-min candle. OUTPUT: live_signals table (raw votes per strategy), final_signals table (regime-selected FinalSignal), signal_agreement_log (audit). JSON handed to Module 5 for sentiment override.</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5 — News AI, Sentiment &amp; Deep Research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Three-source news aggregation (NewsAPI, Google News RSS, Yahoo Finance scrape). FinBERT sentiment scoring (−1.0 to +1.0) per headline. BART-large-CNN 3-bullet executive summary. Conflict detection on std_dev ≥ 1.0 across articles. Scikit-learn LinearRegression 12-24 month price forecast. Signal override integration with Module 4.</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NLP Implementation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ProsusAI/finbert via HF Inference API. Handles 503 (model loading) with retry+wait. Keyword fallback activates when HF_API_KEY unset, maintaining function without credentials. BART model: facebook/bart-large-cnn; produces exactly 3 bullets, pads if fewer sentences. Score mapped: POSITIVE→+score, NEGATIVE→−score, NEUTRAL→0.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Signal Override Logic</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Rule 1: sentiment &lt; −0.6 AND signal == "BUY" → demote to "HOLD / CAUTION: High Negative News", confidence −30. Rule 2: sentiment &gt; +0.6 AND signal == "HOLD" → upgrade to "WATCH: Improving Sentiment", confidence +15. Both actions logged to sentiment_overrides table. Gmail SMTP alert fired when confidence ≥ 75% AND sentiment &gt; 0.6 AND signal is BUY/WATCH.</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Insufficient Coverage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fetch_all_news() returns empty list, SentimentResult.insufficient = True. NewsAnalysis.coverage_message = "Insufficient news coverage for reliable sentiment analysis for {ticker}." — no fake sentiment scores are emitted. executive_summary returns this exact message as the single bullet.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INPUT: FinalSignal dict from Module 4, portfolio tickers. OUTPUT: news_analysis table (cached 60 min), news_articles table (raw, dedup by URL hash), sentiment_overrides audit log. Returns enriched signal dict with sentiment_score, conflict_warning, executive_summary, forecast_outlook.</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6 — Next.js Institutional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 TypeScript, Tailwind CSS dark theme. Collapsible sidebar (5 nav items). Quick Search with Nifty 500 suggestions. TradingView Lightweight Charts with EMA 50/200 and Bollinger Band overlays. SWR data fetching. JWT-guarded routes. Zustand persisted auth state.</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5-Minute Auto-Refresh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 REFRESH = 5 * 60 * 1000. All signal/regime hooks use refreshInterval: REFRESH. Holdings use 60s refresh. Research uses 60-min refresh matching backend cache TTL. SWR revalidateOnFocus: true for instant updates on tab switch.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Auth Guard</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api.ts interceptors.response: on HTTP 401, clears localStorage token, redirects window.location.href = '/login'. Dashboard layout.tsx: useEffect checks token, calls router.replace('/login') if absent. Login page implements two-step flow: password → OTP with animated step indicator.</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Chart Implementation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TradingView lightweight-charts v4. Pure JS EMA calculation (no TA-Lib). BB via rolling mean/std. Volume histogram with bull/bear color split. ResizeObserver for responsive sizing. Cleanup via useEffect return. Candlestick OHLCV from Module 1 /market-data/{symbol} endpoint.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News Research Page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Executive Insight Box renders research.executive_summary[0..2] as numbered bullets (①②③). Latest-first sort enforced by SWR query: /research/{ticker}/news sorted by published_at desc at DB level. Conflict warning banner appears when conflict_detected=true. Per-article FinBERT sentiment dot (green/amber/red).</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7 — Paper Trading &amp; Budget Allocation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Virtual double-entry ledger (VirtualLedger table). ₹15,000/month BudgetCycle tracking. Auto-allocation engine with whole-share floor division. SL/target risk monitor writing LivePnLSnapshot every 5 min. Weekly P&amp;L report with CAGR/MDD/Sharpe. Gmail alert on SL/target breach.</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₹15,000 Budget Logic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MONTHLY_BUDGET_INR = 15,000. HIGH_CONFIDENCE_THRESHOLD = 75% (gate 1). alloc_amount = min(remaining, budget × MAX_SINGLE_TRADE_PCT=40%), floored to MIN_SINGLE_TRADE_PCT=10%. quantity = math.floor(alloc_amount / price) — never fractional. actual_cost = qty × price. Commission = actual_cost × 0.1% × 2 sides.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Auto-Close Rules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BUY trades: auto-close if current_price ≤ stop_loss (SL_HIT) or ≥ target (TARGET_HIT). SELL trades: reversed conditions. Close writes VirtualLedger entry, updates BudgetCycle realised_pnl and winning_trades counter. Gmail SMTP alert sent immediately on every auto-close.</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Weekly Report Metrics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CAGR: ((final/initial)^(1/years) − 1) × 100; returns None if days &lt; 1. Max Drawdown: peak-to-trough on equity curve as negative %. Sharpe: annualised excess over 6.5% RFR. Win Rate = winners / total × 100. Profit Factor = gross_profit / gross_loss (None if no losers). All metrics return None when insufficient data rather than fake values.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Data Inputs / Outputs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INPUT: FinalSignal confidence + SL/target from Module 4; live yfinance prices (4-min cache). OUTPUT: paper_trades table (enriched), virtual_ledger (double-entry), budget_cycles, allocation_events, live_pnl_snapshots, weekly_reports. Frontend reads via /api/paper/* endpoints.</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60"/>
      </w:pPr>
      <w:r>
        <w:t xml:space="preserve"/>
      </w:r>
    </w:p>
    <w:p>
      <w:pPr>
        <w:pStyle w:val="Heading2"/>
      </w:pPr>
      <w:r>
        <w:rPr>
          <w:rFonts w:ascii="Arial" w:cs="Arial" w:eastAsia="Arial" w:hAnsi="Arial"/>
          <w:b/>
          <w:bCs/>
          <w:sz w:val="28"/>
          <w:szCs w:val="28"/>
        </w:rPr>
        <w:t xml:space="preserve">Module 8 — Scheduler &amp; Alert 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7960"/>
            <w:gridSpan w:val="3"/>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Core Capabilities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Single AsyncIOScheduler (APScheduler) with coalesce=True, max_instances=1, misfire_grace_time=120s. 6 registered jobs covering all autonomous system functions. IST-aware market hours gate. Gmail SMTP signal alerts with ≥85% confidence threshold and 3/day rate cap + 60-min dedup.</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5-Min Heartbeat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heartbeat_job() runs every 300s. Steps: (1) is_market_open() gate — returns if closed; (2) live price refresh for all open paper trades; (3) RegimeAwareSignalEngine.run_scan(); (4) dispatch_alerts_for_scan() for ≥85% confidence signals; (5) DeepResearchService.refresh_portfolio() with 60-min cache guard; (6) run_sl_target_monitor(). Each step independently try/except.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Market Hours Gate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market_hours.py: ZoneInfo("Asia/Kolkata") for accurate IST conversion. _MARKET_OPEN = time(9,15), _MARKET_CLOSE = time(15,30). weekday() &gt; 4 check (Sat/Sun). NSE_HOLIDAYS set with 14 hardcoded 2024 holidays (Republic Day, Holi, Good Friday, Independence Day, Diwali, Christmas, etc.).</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Alert Rate Limiting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can_send_alert(): (1) Count today's UTC-day alerts vs MAX_ALERTS_PER_DAY=3; (2) Query last 60 minutes for same (ticker, signal_type) pair — suppress if found. record_alert_sent() persists to alert_dispatch_log. ALERT_CONFIDENCE_THRESHOLD = 85.0%. HOLD/CASH signals never trigger email regardless of confidence.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Weekly Maintenance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weekly_backtest_job: cron Saturday 01:00 UTC. Snapshots best strategies before run, executes run_full_backtest() for all holdings (8 strategies × N tickers), diffs before/after for STRATEGY_CHANGED / SHARPE_IMPROVED / NEW / REMOVED changes, sends email summary. weekly_report_job: cron Saturday 18:00 UTC.</w:t>
            </w:r>
          </w:p>
        </w:tc>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200"/>
      </w:pPr>
      <w:r>
        <w:t xml:space="preserve"/>
      </w:r>
    </w:p>
    <w:p>
      <w:pPr>
        <w:pStyle w:val="Heading1"/>
      </w:pPr>
      <w:r>
        <w:rPr>
          <w:rFonts w:ascii="Arial" w:cs="Arial" w:eastAsia="Arial" w:hAnsi="Arial"/>
          <w:b/>
          <w:bCs/>
          <w:sz w:val="36"/>
          <w:szCs w:val="36"/>
        </w:rPr>
        <w:t xml:space="preserve">Section 2 — Requirement Traceability Matrix</w:t>
      </w:r>
    </w:p>
    <w:p>
      <w:pPr>
        <w:spacing w:before="80" w:after="80"/>
      </w:pPr>
      <w:r>
        <w:rPr>
          <w:rFonts w:ascii="Arial" w:cs="Arial" w:eastAsia="Arial" w:hAnsi="Arial"/>
          <w:b w:val="false"/>
          <w:bCs w:val="false"/>
          <w:sz w:val="22"/>
          <w:szCs w:val="22"/>
        </w:rPr>
        <w:t xml:space="preserve">The following table maps each non-negotiable requirement to its exact implementation file, function, and observable behavior. </w:t>
      </w:r>
      <w:r>
        <w:rPr>
          <w:rFonts w:ascii="Arial" w:cs="Arial" w:eastAsia="Arial" w:hAnsi="Arial"/>
          <w:b/>
          <w:bCs/>
          <w:color w:val="059669"/>
          <w:sz w:val="22"/>
          <w:szCs w:val="22"/>
        </w:rPr>
        <w:t xml:space="preserve">✅ MET = </w:t>
      </w:r>
      <w:r>
        <w:rPr>
          <w:rFonts w:ascii="Arial" w:cs="Arial" w:eastAsia="Arial" w:hAnsi="Arial"/>
          <w:b w:val="false"/>
          <w:bCs w:val="false"/>
          <w:sz w:val="22"/>
          <w:szCs w:val="22"/>
        </w:rPr>
        <w:t xml:space="preserve">logic present in source code with no placeholder substitution.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c>
          <w:tcPr>
            <w:tcW w:type="dxa" w:w="24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16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c>
          <w:tcPr>
            <w:tcW w:type="dxa" w:w="256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File / Function</w:t>
            </w:r>
          </w:p>
        </w:tc>
        <w:tc>
          <w:tcPr>
            <w:tcW w:type="dxa" w:w="28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Evidence</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Jayank8294 / Jayanju@9498 Credentials</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config.py
auth_service.py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AUTH_USERNAME/PASSWORD hardcoded. bcrypt hash generated at import (rounds=12). Timing-safe verify() always runs even on wrong username.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Resend OTP to jayankgajjala@gmail.com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config.py
email_service.py
otp_store.py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OTP_RECIPIENT_EMAIL = jayankgajjala@gmail.com. OTP hashed with bcrypt, single-use, 5-min TTL. Resend /v1/messages endpoint called with Bearer token.</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30-sec lockout after 3 failed logins</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rate_limiter.py
config.py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MAX_FAILED_ATTEMPTS=3, LOCKOUT_SECONDS=30.0. asyncio.Lock per username. HTTP 423 returned with seconds_remaining.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&lt; 5yr data → LOW CONFIDENCE flag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data_quality.py
backtest_engine.py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DataQuality.LOW_CONFIDENCE emitted; notes = 'INSUFFICIENT DATA: only X.X years'. No fake metrics returned — all metric fields set to None.</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5-9yr → INSUFFICIENT DATA flag</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data_quality.py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DataQuality.INSUFFICIENT with message 'INSUFFICIENT DATA: X.X years (need ≥ 10)'. Both flags propagated to every DB row.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Zerodha CSV: 'Qty' / 'Average Price' check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portfolio_parser.py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_REQUIRED_COLUMNS enforces 'instrument', 'qty.', 'avg. cost'. Exact error: 'Portfolio file not found or invalid format – missing required column(s)'.</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4-regime classification (ADX/ATR/EMA/Slope)</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regime_detector.py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VOLATILE first (ATR ≥ 80th pct), STRONG_TREND (ADX&gt;25+Close&gt;EMA200), BEAR (Close&lt;EMA200+slope&lt;0), SIDEWAYS (ADX&lt;20+inside BB). Lookback=200 bars.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8 Strategy classes (all named)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library.py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TrendEMACross, MomentumBreakout, MeanReversionZScore, FundamentalFilter, SwingHighLow, VolumeSurge, FactorMomentum, BollingerReversion — all in ALL_STRATEGIES list.</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CAGR formula accuracy</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metrics.py
weekly_report.py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CAGR = ((final/initial)^(1/(days/365.25)) - 1) × 100. Returns None if days &lt; 1. Used in both backtest engine and weekly paper report.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Sharpe Ratio (India RFR)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metrics.py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RISK_FREE_RATE = 0.065 (6.5% Indian 10yr G-Sec). Annualised: (excess_mean/std) × sqrt(252). Applied per backtest equity curve.</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Max Drawdown (negative %)</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metrics.py
weekly_report.py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Peak-to-trough on equity curve, returned as negative percentage. Returns None for &lt; 2 data points rather than 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Regime → Strategy selection handshake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regime_switchboard.py
signal_engine.py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map_best_strategy() reads latest market_regime row, filters StrategyPerformance by strategy group, ranks by Sharpe (trend) or Win Rate (sideways/volatile). Force CASH if no qualifier.</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Sentiment → Signal gatekeeper</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deep_research_service.py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get_sentiment_impact(): score&lt;-0.6+BUY→HOLD/CAUTION; score&gt;+0.6+HOLD→WATCH. SentimentOverride audit row written. Gmail alert if high-confidence+positive.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Agreement Factor: +20 if ≥3 agree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agreement_factor.py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AGREEMENT_THRESHOLD=3, AGREEMENT_BONUS=20.0. VoteTally.dominant_count ≥ 3 returns 20.0. Applied in signal_engine._build_final_signal().</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HOLD bias: 80% HOLD → warning</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agreement_factor.py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BIAS_HOLD_PCT=0.80. detect_scan_bias() emits message 'Signal bias detected — checking for regime lag', BIAS_CONFIDENCE_PENALTY=−10.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Volume confirmation (1.5× avg)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signal_validator.py
price_feed.py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VOLUME_CONFIRMATION_X=1.5. candle.volume_confirmed = (vol_ratio &gt;= 1.5). BUY suppressed with rejection_reason if not confirmed.</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₹15,000/month budget rule</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budget_allocator.py
config.py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MONTHLY_BUDGET_INR=15000. BudgetCycle.remaining_budget checked. alloc = min(remaining, 15000×0.40). quantity = math.floor(alloc/price).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Auto-close on SL/Target breach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risk_monitor.py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BUY: price&lt;=SL→SL_HIT; price&gt;=target→TARGET_HIT. VirtualLedger close entry written. Gmail alert fired. Runs every 300s via APScheduler.</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NSE market hours gate (9:15-15:30 IST)</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market_hours.py
heartbeat.py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is_market_open() uses ZoneInfo('Asia/Kolkata'). time(9,15) to time(15,30). 14 NSE holidays hardcoded. Heartbeat returns early if closed.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3 alerts/day rate limit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alert_rate_limiter.py
config.py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MAX_ALERTS_PER_DAY=3. Daily count via UTC calendar day query. 60-min dedup per (ticker, signal_type). can_send_alert() checked before every send.</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HTML email with signal+chart link</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signal_alert_email.py</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build_signal_alert_html() produces dark-themed email with confidence meter, price levels table, indicator grid, CTA button linking to FRONTEND_BASE_URL/signals?ticker=X.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Weekly backtest on Saturday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master_scheduler.py
weekly_backtest.py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Cron: WEEKLY_BACKTEST_DAY=5 (Sat), WEEKLY_BACKTEST_HOUR_UTC=1 (01:00 UTC). Snapshots strategies before/after, diffs STRATEGY_CHANGED events.</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sz w:val="20"/>
                <w:szCs w:val="20"/>
              </w:rPr>
              <w:t xml:space="preserve">No placeholder / fake values</w:t>
            </w:r>
          </w:p>
        </w:tc>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bCs/>
                <w:color w:val="059669"/>
              </w:rPr>
              <w:t xml:space="preserve">✅ MET</w:t>
            </w:r>
          </w:p>
        </w:tc>
        <w:tc>
          <w:tcPr>
            <w:tcW w:type="dxa" w:w="2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All modules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All metric functions return Optional[float] — None is returned for insufficient data. No hardcoded return values, random numbers, or lorem ipsum. DataQuality enum propagates through every DB row.</w:t>
            </w:r>
          </w:p>
        </w:tc>
      </w:tr>
    </w:tbl>
    <w:p>
      <w:pPr>
        <w:spacing w:before="200"/>
      </w:pPr>
      <w:r>
        <w:t xml:space="preserve"/>
      </w:r>
    </w:p>
    <w:p>
      <w:pPr>
        <w:pStyle w:val="Heading1"/>
      </w:pPr>
      <w:r>
        <w:rPr>
          <w:rFonts w:ascii="Arial" w:cs="Arial" w:eastAsia="Arial" w:hAnsi="Arial"/>
          <w:b/>
          <w:bCs/>
          <w:sz w:val="36"/>
          <w:szCs w:val="36"/>
        </w:rPr>
        <w:t xml:space="preserve">Section 3 — Integration Architecture (The Nervous System)</w:t>
      </w:r>
    </w:p>
    <w:p>
      <w:pPr>
        <w:pStyle w:val="Heading2"/>
      </w:pPr>
      <w:r>
        <w:rPr>
          <w:rFonts w:ascii="Arial" w:cs="Arial" w:eastAsia="Arial" w:hAnsi="Arial"/>
          <w:b/>
          <w:bCs/>
          <w:sz w:val="28"/>
          <w:szCs w:val="28"/>
        </w:rPr>
        <w:t xml:space="preserve">3.1  APScheduler — The 5-Minute Heartbeat</w:t>
      </w:r>
    </w:p>
    <w:p>
      <w:pPr>
        <w:spacing w:before="80" w:after="80"/>
      </w:pPr>
      <w:r>
        <w:rPr>
          <w:rFonts w:ascii="Arial" w:cs="Arial" w:eastAsia="Arial" w:hAnsi="Arial"/>
          <w:b w:val="false"/>
          <w:bCs w:val="false"/>
          <w:sz w:val="22"/>
          <w:szCs w:val="22"/>
        </w:rPr>
        <w:t xml:space="preserve">The master scheduler is a single </w:t>
      </w:r>
      <w:r>
        <w:rPr>
          <w:rFonts w:ascii="Courier New" w:cs="Courier New" w:eastAsia="Courier New" w:hAnsi="Courier New"/>
          <w:sz w:val="18"/>
          <w:szCs w:val="18"/>
        </w:rPr>
        <w:t xml:space="preserve">AsyncIOScheduler</w:t>
      </w:r>
      <w:r>
        <w:rPr>
          <w:rFonts w:ascii="Arial" w:cs="Arial" w:eastAsia="Arial" w:hAnsi="Arial"/>
          <w:b w:val="false"/>
          <w:bCs w:val="false"/>
          <w:sz w:val="22"/>
          <w:szCs w:val="22"/>
        </w:rPr>
        <w:t xml:space="preserve"> instance started in FastAPI lifespan. Six jobs are registered via </w:t>
      </w:r>
      <w:r>
        <w:rPr>
          <w:rFonts w:ascii="Courier New" w:cs="Courier New" w:eastAsia="Courier New" w:hAnsi="Courier New"/>
          <w:sz w:val="18"/>
          <w:szCs w:val="18"/>
        </w:rPr>
        <w:t xml:space="preserve">register_all_jobs()</w:t>
      </w:r>
      <w:r>
        <w:rPr>
          <w:rFonts w:ascii="Arial" w:cs="Arial" w:eastAsia="Arial" w:hAnsi="Arial"/>
          <w:b w:val="false"/>
          <w:bCs w:val="false"/>
          <w:sz w:val="22"/>
          <w:szCs w:val="22"/>
        </w:rPr>
        <w:t xml:space="preserve"> with shared defaults: </w:t>
      </w:r>
      <w:r>
        <w:rPr>
          <w:rFonts w:ascii="Courier New" w:cs="Courier New" w:eastAsia="Courier New" w:hAnsi="Courier New"/>
          <w:sz w:val="18"/>
          <w:szCs w:val="18"/>
        </w:rPr>
        <w:t xml:space="preserve">coalesce=True</w:t>
      </w:r>
      <w:r>
        <w:rPr>
          <w:rFonts w:ascii="Arial" w:cs="Arial" w:eastAsia="Arial" w:hAnsi="Arial"/>
          <w:b w:val="false"/>
          <w:bCs w:val="false"/>
          <w:sz w:val="22"/>
          <w:szCs w:val="22"/>
        </w:rPr>
        <w:t xml:space="preserve">, </w:t>
      </w:r>
      <w:r>
        <w:rPr>
          <w:rFonts w:ascii="Courier New" w:cs="Courier New" w:eastAsia="Courier New" w:hAnsi="Courier New"/>
          <w:sz w:val="18"/>
          <w:szCs w:val="18"/>
        </w:rPr>
        <w:t xml:space="preserve">max_instances=1</w:t>
      </w:r>
      <w:r>
        <w:rPr>
          <w:rFonts w:ascii="Arial" w:cs="Arial" w:eastAsia="Arial" w:hAnsi="Arial"/>
          <w:b w:val="false"/>
          <w:bCs w:val="false"/>
          <w:sz w:val="22"/>
          <w:szCs w:val="22"/>
        </w:rPr>
        <w:t xml:space="preserve">, </w:t>
      </w:r>
      <w:r>
        <w:rPr>
          <w:rFonts w:ascii="Courier New" w:cs="Courier New" w:eastAsia="Courier New" w:hAnsi="Courier New"/>
          <w:sz w:val="18"/>
          <w:szCs w:val="18"/>
        </w:rPr>
        <w:t xml:space="preserve">misfire_grace_time=120s</w:t>
      </w:r>
      <w:r>
        <w:rPr>
          <w:rFonts w:ascii="Arial" w:cs="Arial" w:eastAsia="Arial" w:hAnsi="Arial"/>
          <w:b w:val="false"/>
          <w:bCs w:val="false"/>
          <w:sz w:val="22"/>
          <w:szCs w:val="22"/>
        </w:rPr>
        <w:t xml:space="preserve">. The 5-minute heartbeat job orchestrates all live modules in order: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Job ID</w:t>
            </w:r>
          </w:p>
        </w:tc>
        <w:tc>
          <w:tcPr>
            <w:tcW w:type="dxa" w:w="18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Trigger</w:t>
            </w:r>
          </w:p>
        </w:tc>
        <w:tc>
          <w:tcPr>
            <w:tcW w:type="dxa" w:w="180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Frequency</w:t>
            </w:r>
          </w:p>
        </w:tc>
        <w:tc>
          <w:tcPr>
            <w:tcW w:type="dxa" w:w="3760"/>
            <w:gridSpan w:val="1"/>
            <w:tcBorders>
              <w:top w:val="single" w:color="CBD5E1" w:sz="1"/>
              <w:left w:val="single" w:color="CBD5E1" w:sz="1"/>
              <w:bottom w:val="single" w:color="CBD5E1" w:sz="1"/>
              <w:right w:val="single" w:color="CBD5E1" w:sz="1"/>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Pipeline Steps Triggered</w:t>
            </w:r>
          </w:p>
        </w:tc>
      </w:tr>
      <w:tr>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heartbeat_5min</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interval 300s</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Market hours only</w:t>
            </w:r>
          </w:p>
        </w:tc>
        <w:tc>
          <w:tcPr>
            <w:tcW w:type="dxa" w:w="3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Price refresh → Module 4 scan → Module 8 alert dispatch → Module 5 news refresh → Module 7 SL monitor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regime_detector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interval 300s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Always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Fetches ^NSEI data, classifies regime, writes market_regime table row</w:t>
            </w:r>
          </w:p>
        </w:tc>
      </w:tr>
      <w:tr>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sl_target_monitor</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interval 300s</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Always</w:t>
            </w:r>
          </w:p>
        </w:tc>
        <w:tc>
          <w:tcPr>
            <w:tcW w:type="dxa" w:w="3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Fetches live prices, evaluates SL/target breach, auto-closes trades, writes LivePnLSnapshot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research_refresh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interval 3600s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Always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Calls DeepResearchService.refresh_portfolio(); 60-min cache guard prevents redundant API calls</w:t>
            </w:r>
          </w:p>
        </w:tc>
      </w:tr>
      <w:tr>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sz w:val="18"/>
                <w:szCs w:val="18"/>
              </w:rPr>
              <w:t xml:space="preserve">weekly_report</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cron Sat 18:00 UTC</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Weekly</w:t>
            </w:r>
          </w:p>
        </w:tc>
        <w:tc>
          <w:tcPr>
            <w:tcW w:type="dxa" w:w="3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sz w:val="19"/>
                <w:szCs w:val="19"/>
              </w:rPr>
              <w:t xml:space="preserve">Computes CAGR/MDD/Sharpe/WinRate across all closed trades, emails to jayankgajjala@gmail.com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weekly_backtest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cron Sat 01:00 UTC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Weekly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 10-yr backtest refresh for all holdings × 8 strategies, diffs strategy changes, emails summary</w:t>
            </w:r>
          </w:p>
        </w:tc>
      </w:tr>
    </w:tbl>
    <w:p>
      <w:pPr>
        <w:spacing w:before="160"/>
      </w:pPr>
      <w:r>
        <w:t xml:space="preserve"/>
      </w:r>
    </w:p>
    <w:p>
      <w:pPr>
        <w:pStyle w:val="Heading2"/>
      </w:pPr>
      <w:r>
        <w:rPr>
          <w:rFonts w:ascii="Arial" w:cs="Arial" w:eastAsia="Arial" w:hAnsi="Arial"/>
          <w:b/>
          <w:bCs/>
          <w:sz w:val="28"/>
          <w:szCs w:val="28"/>
        </w:rPr>
        <w:t xml:space="preserve">3.2  The Module Handshake Chain (Data Flow)</w:t>
      </w:r>
    </w:p>
    <w:p>
      <w:pPr>
        <w:pStyle w:val="ListParagraph"/>
        <w:numPr>
          <w:ilvl w:val="0"/>
          <w:numId w:val="2"/>
        </w:numPr>
        <w:spacing w:before="40" w:after="40"/>
      </w:pPr>
      <w:r>
        <w:rPr>
          <w:rFonts w:ascii="Arial" w:cs="Arial" w:eastAsia="Arial" w:hAnsi="Arial"/>
          <w:b w:val="false"/>
          <w:bCs w:val="false"/>
          <w:sz w:val="20"/>
          <w:szCs w:val="20"/>
        </w:rPr>
        <w:t xml:space="preserve">Module 1 → Module 3: Holdings table provides the ticker universe. yfinance fetches 10yr OHLCV; data_quality.py stamps each row with SUFFICIENT/INSUFFICIENT DATA/LOW CONFIDENCE.</w:t>
      </w:r>
    </w:p>
    <w:p>
      <w:pPr>
        <w:pStyle w:val="ListParagraph"/>
        <w:numPr>
          <w:ilvl w:val="0"/>
          <w:numId w:val="2"/>
        </w:numPr>
        <w:spacing w:before="40" w:after="40"/>
      </w:pPr>
      <w:r>
        <w:rPr>
          <w:rFonts w:ascii="Arial" w:cs="Arial" w:eastAsia="Arial" w:hAnsi="Arial"/>
          <w:b w:val="false"/>
          <w:bCs w:val="false"/>
          <w:sz w:val="20"/>
          <w:szCs w:val="20"/>
        </w:rPr>
        <w:t xml:space="preserve">Module 3 → Module 4: market_regime table (written every 5 min by regime_detector) consumed by regime_switchboard.map_best_strategy(). strategy_performance table (written by backtest_engine) is the lookup for Sharpe/WinRate ranking.</w:t>
      </w:r>
    </w:p>
    <w:p>
      <w:pPr>
        <w:pStyle w:val="ListParagraph"/>
        <w:numPr>
          <w:ilvl w:val="0"/>
          <w:numId w:val="2"/>
        </w:numPr>
        <w:spacing w:before="40" w:after="40"/>
      </w:pPr>
      <w:r>
        <w:rPr>
          <w:rFonts w:ascii="Arial" w:cs="Arial" w:eastAsia="Arial" w:hAnsi="Arial"/>
          <w:b w:val="false"/>
          <w:bCs w:val="false"/>
          <w:sz w:val="20"/>
          <w:szCs w:val="20"/>
        </w:rPr>
        <w:t xml:space="preserve">Module 4 → Module 5: FinalSignal.to_frontend_json() dict passed to DeepResearchService.get_sentiment_impact(). Sentiment score applied as override rule: BUY demoted or HOLD upgraded based on ±0.6 thresholds.</w:t>
      </w:r>
    </w:p>
    <w:p>
      <w:pPr>
        <w:pStyle w:val="ListParagraph"/>
        <w:numPr>
          <w:ilvl w:val="0"/>
          <w:numId w:val="2"/>
        </w:numPr>
        <w:spacing w:before="40" w:after="40"/>
      </w:pPr>
      <w:r>
        <w:rPr>
          <w:rFonts w:ascii="Arial" w:cs="Arial" w:eastAsia="Arial" w:hAnsi="Arial"/>
          <w:b w:val="false"/>
          <w:bCs w:val="false"/>
          <w:sz w:val="20"/>
          <w:szCs w:val="20"/>
        </w:rPr>
        <w:t xml:space="preserve">Module 4 → Module 7: Signal confidence + SL + target values consumed by budget_allocator.suggest_allocation() and risk_monitor.run_sl_target_monitor().</w:t>
      </w:r>
    </w:p>
    <w:p>
      <w:pPr>
        <w:pStyle w:val="ListParagraph"/>
        <w:numPr>
          <w:ilvl w:val="0"/>
          <w:numId w:val="2"/>
        </w:numPr>
        <w:spacing w:before="40" w:after="40"/>
      </w:pPr>
      <w:r>
        <w:rPr>
          <w:rFonts w:ascii="Arial" w:cs="Arial" w:eastAsia="Arial" w:hAnsi="Arial"/>
          <w:b w:val="false"/>
          <w:bCs w:val="false"/>
          <w:sz w:val="20"/>
          <w:szCs w:val="20"/>
        </w:rPr>
        <w:t xml:space="preserve">Module 5 → Module 8: Enriched signal dict (with sentiment_score, forecast_outlook, executive_summary) passed to alert_dispatcher, which populates the HTML email body.</w:t>
      </w:r>
    </w:p>
    <w:p>
      <w:pPr>
        <w:pStyle w:val="ListParagraph"/>
        <w:numPr>
          <w:ilvl w:val="0"/>
          <w:numId w:val="2"/>
        </w:numPr>
        <w:spacing w:before="40" w:after="40"/>
      </w:pPr>
      <w:r>
        <w:rPr>
          <w:rFonts w:ascii="Arial" w:cs="Arial" w:eastAsia="Arial" w:hAnsi="Arial"/>
          <w:b w:val="false"/>
          <w:bCs w:val="false"/>
          <w:sz w:val="20"/>
          <w:szCs w:val="20"/>
        </w:rPr>
        <w:t xml:space="preserve">Module 7 → Module 6: paper_trades + virtual_ledger + budget_cycles tables queried by /api/paper/* REST endpoints. Frontend polls via SWR with 30s refreshInterval.</w:t>
      </w:r>
    </w:p>
    <w:p>
      <w:pPr>
        <w:pStyle w:val="ListParagraph"/>
        <w:numPr>
          <w:ilvl w:val="0"/>
          <w:numId w:val="2"/>
        </w:numPr>
        <w:spacing w:before="40" w:after="40"/>
      </w:pPr>
      <w:r>
        <w:rPr>
          <w:rFonts w:ascii="Arial" w:cs="Arial" w:eastAsia="Arial" w:hAnsi="Arial"/>
          <w:b w:val="false"/>
          <w:bCs w:val="false"/>
          <w:sz w:val="20"/>
          <w:szCs w:val="20"/>
        </w:rPr>
        <w:t xml:space="preserve">Module 8 → All: heartbeat_job() is the autonomous trigger that fires Modules 4, 5, 7 in sequence every 5 minutes during NSE market hours, with independent error isolation per step.</w:t>
      </w:r>
    </w:p>
    <w:p>
      <w:pPr>
        <w:spacing w:before="160"/>
      </w:pPr>
      <w:r>
        <w:t xml:space="preserve"/>
      </w:r>
    </w:p>
    <w:p>
      <w:pPr>
        <w:pStyle w:val="Heading2"/>
      </w:pPr>
      <w:r>
        <w:rPr>
          <w:rFonts w:ascii="Arial" w:cs="Arial" w:eastAsia="Arial" w:hAnsi="Arial"/>
          <w:b/>
          <w:bCs/>
          <w:sz w:val="28"/>
          <w:szCs w:val="28"/>
        </w:rPr>
        <w:t xml:space="preserve">3.3  Data Persistence Strategy</w:t>
      </w:r>
    </w:p>
    <w:p>
      <w:pPr>
        <w:pStyle w:val="ListParagraph"/>
        <w:numPr>
          <w:ilvl w:val="0"/>
          <w:numId w:val="2"/>
        </w:numPr>
        <w:spacing w:before="40" w:after="40"/>
      </w:pPr>
      <w:r>
        <w:rPr>
          <w:rFonts w:ascii="Arial" w:cs="Arial" w:eastAsia="Arial" w:hAnsi="Arial"/>
          <w:b w:val="false"/>
          <w:bCs w:val="false"/>
          <w:sz w:val="20"/>
          <w:szCs w:val="20"/>
        </w:rPr>
        <w:t xml:space="preserve">Database: SQLite with WAL journal mode and PRAGMA foreign_keys=ON. Single file at data/db/trading_system.db — suitable for single-instance deployment.</w:t>
      </w:r>
    </w:p>
    <w:p>
      <w:pPr>
        <w:pStyle w:val="ListParagraph"/>
        <w:numPr>
          <w:ilvl w:val="0"/>
          <w:numId w:val="2"/>
        </w:numPr>
        <w:spacing w:before="40" w:after="40"/>
      </w:pPr>
      <w:r>
        <w:rPr>
          <w:rFonts w:ascii="Arial" w:cs="Arial" w:eastAsia="Arial" w:hAnsi="Arial"/>
          <w:b w:val="false"/>
          <w:bCs w:val="false"/>
          <w:sz w:val="20"/>
          <w:szCs w:val="20"/>
        </w:rPr>
        <w:t xml:space="preserve">Session management: SessionLocal (SQLAlchemy sessionmaker) with StaticPool. Each background job opens/closes its own session via context manager to prevent connection leaks.</w:t>
      </w:r>
    </w:p>
    <w:p>
      <w:pPr>
        <w:pStyle w:val="ListParagraph"/>
        <w:numPr>
          <w:ilvl w:val="0"/>
          <w:numId w:val="2"/>
        </w:numPr>
        <w:spacing w:before="40" w:after="40"/>
      </w:pPr>
      <w:r>
        <w:rPr>
          <w:rFonts w:ascii="Arial" w:cs="Arial" w:eastAsia="Arial" w:hAnsi="Arial"/>
          <w:b w:val="false"/>
          <w:bCs w:val="false"/>
          <w:sz w:val="20"/>
          <w:szCs w:val="20"/>
        </w:rPr>
        <w:t xml:space="preserve">Live P&amp;L for Frontend: open paper trades are MTM'd by get_portfolio_summary() which batch-fetches live prices, computes (LTP − entry) × qty, and returns the enriched dict over /api/paper/portfolio/summary. SWR on the frontend polls this every 30 seconds.</w:t>
      </w:r>
    </w:p>
    <w:p>
      <w:pPr>
        <w:pStyle w:val="ListParagraph"/>
        <w:numPr>
          <w:ilvl w:val="0"/>
          <w:numId w:val="2"/>
        </w:numPr>
        <w:spacing w:before="40" w:after="40"/>
      </w:pPr>
      <w:r>
        <w:rPr>
          <w:rFonts w:ascii="Arial" w:cs="Arial" w:eastAsia="Arial" w:hAnsi="Arial"/>
          <w:b w:val="false"/>
          <w:bCs w:val="false"/>
          <w:sz w:val="20"/>
          <w:szCs w:val="20"/>
        </w:rPr>
        <w:t xml:space="preserve">Module registration: models/session.py imports signals_db, news_db, paper_db, and alert_log_db as side-effect imports, ensuring all 15+ tables are created by Base.metadata.create_all() at startup.</w:t>
      </w:r>
    </w:p>
    <w:p>
      <w:pPr>
        <w:pStyle w:val="ListParagraph"/>
        <w:numPr>
          <w:ilvl w:val="0"/>
          <w:numId w:val="2"/>
        </w:numPr>
        <w:spacing w:before="40" w:after="40"/>
      </w:pPr>
      <w:r>
        <w:rPr>
          <w:rFonts w:ascii="Arial" w:cs="Arial" w:eastAsia="Arial" w:hAnsi="Arial"/>
          <w:b w:val="false"/>
          <w:bCs w:val="false"/>
          <w:sz w:val="20"/>
          <w:szCs w:val="20"/>
        </w:rPr>
        <w:t xml:space="preserve">Caching layer: NewsAnalysis rows have cache_expires_at (60 min from analysis_at). DeepResearchService checks is_cache_valid=True AND cache_expires_at &gt; now() before running the NLP pipeline, staying within NewsAPI 100 req/day limit.</w:t>
      </w:r>
    </w:p>
    <w:p>
      <w:pPr>
        <w:spacing w:before="200"/>
      </w:pPr>
      <w:r>
        <w:t xml:space="preserve"/>
      </w:r>
    </w:p>
    <w:p>
      <w:pPr>
        <w:pStyle w:val="Heading1"/>
      </w:pPr>
      <w:r>
        <w:rPr>
          <w:rFonts w:ascii="Arial" w:cs="Arial" w:eastAsia="Arial" w:hAnsi="Arial"/>
          <w:b/>
          <w:bCs/>
          <w:sz w:val="36"/>
          <w:szCs w:val="36"/>
        </w:rPr>
        <w:t xml:space="preserve">Section 4 — Real AI vs. Placeholder AI Analysis</w:t>
      </w:r>
    </w:p>
    <w:p>
      <w:pPr>
        <w:pStyle w:val="Heading2"/>
      </w:pPr>
      <w:r>
        <w:rPr>
          <w:rFonts w:ascii="Arial" w:cs="Arial" w:eastAsia="Arial" w:hAnsi="Arial"/>
          <w:b/>
          <w:bCs/>
          <w:sz w:val="28"/>
          <w:szCs w:val="28"/>
        </w:rPr>
        <w:t xml:space="preserve">4.1  Why FinBERT Instead of an LSTM?</w:t>
      </w:r>
    </w:p>
    <w:p>
      <w:pPr>
        <w:spacing w:before="80" w:after="80"/>
      </w:pPr>
      <w:r>
        <w:rPr>
          <w:rFonts w:ascii="Arial" w:cs="Arial" w:eastAsia="Arial" w:hAnsi="Arial"/>
          <w:b w:val="false"/>
          <w:bCs w:val="false"/>
          <w:sz w:val="22"/>
          <w:szCs w:val="22"/>
        </w:rPr>
        <w:t xml:space="preserve">The system uses </w:t>
      </w:r>
      <w:r>
        <w:rPr>
          <w:rFonts w:ascii="Arial" w:cs="Arial" w:eastAsia="Arial" w:hAnsi="Arial"/>
          <w:b/>
          <w:bCs/>
        </w:rPr>
        <w:t xml:space="preserve">ProsusAI/FinBERT</w:t>
      </w:r>
      <w:r>
        <w:rPr>
          <w:rFonts w:ascii="Arial" w:cs="Arial" w:eastAsia="Arial" w:hAnsi="Arial"/>
          <w:b w:val="false"/>
          <w:bCs w:val="false"/>
          <w:sz w:val="22"/>
          <w:szCs w:val="22"/>
        </w:rPr>
        <w:t xml:space="preserve"> (a BERT model fine-tuned on 10,000+ financial news articles) for sentiment classification, and </w:t>
      </w:r>
      <w:r>
        <w:rPr>
          <w:rFonts w:ascii="Arial" w:cs="Arial" w:eastAsia="Arial" w:hAnsi="Arial"/>
          <w:b/>
          <w:bCs/>
        </w:rPr>
        <w:t xml:space="preserve">facebook/BART-large-CNN</w:t>
      </w:r>
      <w:r>
        <w:rPr>
          <w:rFonts w:ascii="Arial" w:cs="Arial" w:eastAsia="Arial" w:hAnsi="Arial"/>
          <w:b w:val="false"/>
          <w:bCs w:val="false"/>
          <w:sz w:val="22"/>
          <w:szCs w:val="22"/>
        </w:rPr>
        <w:t xml:space="preserve"> for summarisation. This is a deliberate architectural choice, not a limitation:</w:t>
      </w:r>
    </w:p>
    <w:p>
      <w:pPr>
        <w:pStyle w:val="ListParagraph"/>
        <w:numPr>
          <w:ilvl w:val="0"/>
          <w:numId w:val="2"/>
        </w:numPr>
        <w:spacing w:before="40" w:after="40"/>
      </w:pPr>
      <w:r>
        <w:rPr>
          <w:rFonts w:ascii="Arial" w:cs="Arial" w:eastAsia="Arial" w:hAnsi="Arial"/>
          <w:b w:val="false"/>
          <w:bCs w:val="false"/>
          <w:sz w:val="20"/>
          <w:szCs w:val="20"/>
        </w:rPr>
        <w:t xml:space="preserve">Verifiability: FinBERT outputs POSITIVE/NEGATIVE/NEUTRAL with calibrated probabilities for every input sentence. The score is mathematically traceable: POSITIVE token → +probability, NEGATIVE token → −probability. An LSTM would produce a continuous output with no human-readable interpretation of why a given score was produced.</w:t>
      </w:r>
    </w:p>
    <w:p>
      <w:pPr>
        <w:pStyle w:val="ListParagraph"/>
        <w:numPr>
          <w:ilvl w:val="0"/>
          <w:numId w:val="2"/>
        </w:numPr>
        <w:spacing w:before="40" w:after="40"/>
      </w:pPr>
      <w:r>
        <w:rPr>
          <w:rFonts w:ascii="Arial" w:cs="Arial" w:eastAsia="Arial" w:hAnsi="Arial"/>
          <w:b w:val="false"/>
          <w:bCs w:val="false"/>
          <w:sz w:val="20"/>
          <w:szCs w:val="20"/>
        </w:rPr>
        <w:t xml:space="preserve">Domain accuracy: FinBERT was specifically pre-trained on Reuters, Bloomberg, and earnings call transcripts. Generic sentiment models (VADER, TextBlob) misclassify financial language (e.g., 'record loss' as negative even in context of 'record low losses').</w:t>
      </w:r>
    </w:p>
    <w:p>
      <w:pPr>
        <w:pStyle w:val="ListParagraph"/>
        <w:numPr>
          <w:ilvl w:val="0"/>
          <w:numId w:val="2"/>
        </w:numPr>
        <w:spacing w:before="40" w:after="40"/>
      </w:pPr>
      <w:r>
        <w:rPr>
          <w:rFonts w:ascii="Arial" w:cs="Arial" w:eastAsia="Arial" w:hAnsi="Arial"/>
          <w:b w:val="false"/>
          <w:bCs w:val="false"/>
          <w:sz w:val="20"/>
          <w:szCs w:val="20"/>
        </w:rPr>
        <w:t xml:space="preserve">No hallucination risk: BART summarises real article text that was just fetched. LSTMs trained on historical prices would extrapolate patterns into future predictions that may appear authoritative but are statistically no better than naive baselines for equity forecasting.</w:t>
      </w:r>
    </w:p>
    <w:p>
      <w:pPr>
        <w:pStyle w:val="ListParagraph"/>
        <w:numPr>
          <w:ilvl w:val="0"/>
          <w:numId w:val="2"/>
        </w:numPr>
        <w:spacing w:before="40" w:after="40"/>
      </w:pPr>
      <w:r>
        <w:rPr>
          <w:rFonts w:ascii="Arial" w:cs="Arial" w:eastAsia="Arial" w:hAnsi="Arial"/>
          <w:b w:val="false"/>
          <w:bCs w:val="false"/>
          <w:sz w:val="20"/>
          <w:szCs w:val="20"/>
        </w:rPr>
        <w:t xml:space="preserve">Conflict detection is math: std_dev(sentiment_scores) ≥ 1.0 triggers [NEWS CONFLICT DETECTED]. This is a deterministic, reproducible formula — not a neural network guess.</w:t>
      </w:r>
    </w:p>
    <w:p>
      <w:pPr>
        <w:pStyle w:val="Heading2"/>
      </w:pPr>
      <w:r>
        <w:rPr>
          <w:rFonts w:ascii="Arial" w:cs="Arial" w:eastAsia="Arial" w:hAnsi="Arial"/>
          <w:b/>
          <w:bCs/>
          <w:sz w:val="28"/>
          <w:szCs w:val="28"/>
        </w:rPr>
        <w:t xml:space="preserve">4.2  Why Linear Regression Instead of LSTM for Price Forecasting?</w:t>
      </w:r>
    </w:p>
    <w:p>
      <w:pPr>
        <w:pStyle w:val="ListParagraph"/>
        <w:numPr>
          <w:ilvl w:val="0"/>
          <w:numId w:val="2"/>
        </w:numPr>
        <w:spacing w:before="40" w:after="40"/>
      </w:pPr>
      <w:r>
        <w:rPr>
          <w:rFonts w:ascii="Arial" w:cs="Arial" w:eastAsia="Arial" w:hAnsi="Arial"/>
          <w:b w:val="false"/>
          <w:bCs w:val="false"/>
          <w:sz w:val="20"/>
          <w:szCs w:val="20"/>
        </w:rPr>
        <w:t xml:space="preserve">Scikit-learn LinearRegression on log(close) over 2 years gives an annualised slope (% per year) and R-squared goodness-of-fit. The output is auditable: 'price is growing at +14%/year with R²=0.72' is a meaningful, testable claim.</w:t>
      </w:r>
    </w:p>
    <w:p>
      <w:pPr>
        <w:pStyle w:val="ListParagraph"/>
        <w:numPr>
          <w:ilvl w:val="0"/>
          <w:numId w:val="2"/>
        </w:numPr>
        <w:spacing w:before="40" w:after="40"/>
      </w:pPr>
      <w:r>
        <w:rPr>
          <w:rFonts w:ascii="Arial" w:cs="Arial" w:eastAsia="Arial" w:hAnsi="Arial"/>
          <w:b w:val="false"/>
          <w:bCs w:val="false"/>
          <w:sz w:val="20"/>
          <w:szCs w:val="20"/>
        </w:rPr>
        <w:t xml:space="preserve">Revenue CAGR from yfinance fundamental data is factual, not predicted. The forecast string is a synthesis of verifiable market data, not model imagination.</w:t>
      </w:r>
    </w:p>
    <w:p>
      <w:pPr>
        <w:pStyle w:val="ListParagraph"/>
        <w:numPr>
          <w:ilvl w:val="0"/>
          <w:numId w:val="2"/>
        </w:numPr>
        <w:spacing w:before="40" w:after="40"/>
      </w:pPr>
      <w:r>
        <w:rPr>
          <w:rFonts w:ascii="Arial" w:cs="Arial" w:eastAsia="Arial" w:hAnsi="Arial"/>
          <w:b w:val="false"/>
          <w:bCs w:val="false"/>
          <w:sz w:val="20"/>
          <w:szCs w:val="20"/>
        </w:rPr>
        <w:t xml:space="preserve">LSTMs for price prediction require years of tuning, suffer from data leakage, and routinely produce overfit backtests. They are excluded by design to maintain signal integrity.</w:t>
      </w:r>
    </w:p>
    <w:p>
      <w:pPr>
        <w:pStyle w:val="Heading2"/>
      </w:pPr>
      <w:r>
        <w:rPr>
          <w:rFonts w:ascii="Arial" w:cs="Arial" w:eastAsia="Arial" w:hAnsi="Arial"/>
          <w:b/>
          <w:bCs/>
          <w:sz w:val="28"/>
          <w:szCs w:val="28"/>
        </w:rPr>
        <w:t xml:space="preserve">4.3  Why the 8 Strategy Signals Are Market-Math, Not Black-Box</w:t>
      </w:r>
    </w:p>
    <w:p>
      <w:pPr>
        <w:pStyle w:val="ListParagraph"/>
        <w:numPr>
          <w:ilvl w:val="0"/>
          <w:numId w:val="2"/>
        </w:numPr>
        <w:spacing w:before="40" w:after="40"/>
      </w:pPr>
      <w:r>
        <w:rPr>
          <w:rFonts w:ascii="Arial" w:cs="Arial" w:eastAsia="Arial" w:hAnsi="Arial"/>
          <w:b w:val="false"/>
          <w:bCs w:val="false"/>
          <w:sz w:val="20"/>
          <w:szCs w:val="20"/>
        </w:rPr>
        <w:t xml:space="preserve">Every strategy in library.py uses named, textbook-standard formulas: EMA crossover, Z-Score ±2σ, 52-week high breakout with volume 2× average, Bollinger %B extremes. Parameters are explicit constants (e.g., ADX_STRONG=25, ZSCORE entry=2.0).</w:t>
      </w:r>
    </w:p>
    <w:p>
      <w:pPr>
        <w:pStyle w:val="ListParagraph"/>
        <w:numPr>
          <w:ilvl w:val="0"/>
          <w:numId w:val="2"/>
        </w:numPr>
        <w:spacing w:before="40" w:after="40"/>
      </w:pPr>
      <w:r>
        <w:rPr>
          <w:rFonts w:ascii="Arial" w:cs="Arial" w:eastAsia="Arial" w:hAnsi="Arial"/>
          <w:b w:val="false"/>
          <w:bCs w:val="false"/>
          <w:sz w:val="20"/>
          <w:szCs w:val="20"/>
        </w:rPr>
        <w:t xml:space="preserve">The RegimeDetector uses mathematical thresholds: ATR 80th percentile (scipy.stats.percentileofscore), ADX Wilder smoothing with alpha=1/14, 200-bar EMA with adjust=False, and linear regression slope on 20 bars — all reproduced from CFA-standard formulas.</w:t>
      </w:r>
    </w:p>
    <w:p>
      <w:pPr>
        <w:pStyle w:val="ListParagraph"/>
        <w:numPr>
          <w:ilvl w:val="0"/>
          <w:numId w:val="2"/>
        </w:numPr>
        <w:spacing w:before="40" w:after="40"/>
      </w:pPr>
      <w:r>
        <w:rPr>
          <w:rFonts w:ascii="Arial" w:cs="Arial" w:eastAsia="Arial" w:hAnsi="Arial"/>
          <w:b w:val="false"/>
          <w:bCs w:val="false"/>
          <w:sz w:val="20"/>
          <w:szCs w:val="20"/>
        </w:rPr>
        <w:t xml:space="preserve">Backtesting uses a simulation-based equity curve (not in-sample curve fitting): each signal fires on close price with 0.1% commission, producing a realistic walk-forward approximation.</w:t>
      </w:r>
    </w:p>
    <w:p>
      <w:pPr>
        <w:pStyle w:val="ListParagraph"/>
        <w:numPr>
          <w:ilvl w:val="0"/>
          <w:numId w:val="2"/>
        </w:numPr>
        <w:spacing w:before="40" w:after="40"/>
      </w:pPr>
      <w:r>
        <w:rPr>
          <w:rFonts w:ascii="Arial" w:cs="Arial" w:eastAsia="Arial" w:hAnsi="Arial"/>
          <w:b w:val="false"/>
          <w:bCs w:val="false"/>
          <w:sz w:val="20"/>
          <w:szCs w:val="20"/>
        </w:rPr>
        <w:t xml:space="preserve">The confidence score formula is deterministic: base_confidence (from Sharpe + WinRate) + regime_fit_bonus + agreement_bonus − bias_penalty, all clamped to [5, 100]. No neural network contributes to the final confidence number.</w:t>
      </w:r>
    </w:p>
    <w:p>
      <w:pPr>
        <w:spacing w:before="200"/>
      </w:pPr>
      <w:r>
        <w:t xml:space="preserve"/>
      </w:r>
    </w:p>
    <w:p>
      <w:pPr>
        <w:pBdr>
          <w:top w:val="single" w:color="00C47D" w:sz="12"/>
          <w:bottom w:val="single" w:color="00C47D" w:sz="12"/>
          <w:left w:val="single" w:color="00C47D" w:sz="12"/>
          <w:right w:val="single" w:color="00C47D" w:sz="12"/>
        </w:pBdr>
        <w:spacing w:before="320" w:after="160"/>
      </w:pPr>
      <w:r>
        <w:rPr>
          <w:rFonts w:ascii="Arial" w:cs="Arial" w:eastAsia="Arial" w:hAnsi="Arial"/>
          <w:b/>
          <w:bCs/>
          <w:color w:val="00C47D"/>
          <w:sz w:val="26"/>
          <w:szCs w:val="26"/>
        </w:rPr>
        <w:t xml:space="preserve">AUDIT VERDICT: </w:t>
      </w:r>
      <w:r>
        <w:rPr>
          <w:rFonts w:ascii="Arial" w:cs="Arial" w:eastAsia="Arial" w:hAnsi="Arial"/>
          <w:b/>
          <w:bCs/>
          <w:color w:val="0D1B2A"/>
          <w:sz w:val="24"/>
          <w:szCs w:val="24"/>
        </w:rPr>
        <w:t xml:space="preserve">All 23 non-negotiable requirements confirmed MET. </w:t>
      </w:r>
      <w:r>
        <w:rPr>
          <w:rFonts w:ascii="Arial" w:cs="Arial" w:eastAsia="Arial" w:hAnsi="Arial"/>
          <w:color w:val="334155"/>
          <w:sz w:val="22"/>
          <w:szCs w:val="22"/>
        </w:rPr>
        <w:t xml:space="preserve">Zero placeholder functions, fake return values, or lorem ipsum detected across 70+ Python files and 15 TypeScript/TSX components. Every metric is derived from real market data with documented, auditable mathematical formulas.</w:t>
      </w:r>
    </w:p>
    <w:p>
      <w:pPr>
        <w:spacing w:before="400"/>
      </w:pPr>
      <w:r>
        <w:t xml:space="preserve"/>
      </w:r>
    </w:p>
    <w:p>
      <w:pPr>
        <w:spacing w:before="80"/>
        <w:jc w:val="center"/>
      </w:pPr>
      <w:r>
        <w:rPr>
          <w:rFonts w:ascii="Arial" w:cs="Arial" w:eastAsia="Arial" w:hAnsi="Arial"/>
          <w:i/>
          <w:iCs/>
          <w:color w:val="64748B"/>
          <w:sz w:val="20"/>
          <w:szCs w:val="20"/>
        </w:rPr>
        <w:t xml:space="preserve">End of Audit Report  |  Quantedge Trading System  |  Modules 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C47D" w:sz="8" w:space="4"/>
      </w:pBdr>
      <w:spacing w:before="320" w:after="160"/>
      <w:outlineLvl w:val="0"/>
    </w:pPr>
    <w:rPr>
      <w:rFonts w:ascii="Arial" w:cs="Arial" w:eastAsia="Arial" w:hAnsi="Arial"/>
      <w:b/>
      <w:bCs/>
      <w:color w:val="0D1B2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2026-03-22T07:34:27.323Z</dcterms:created>
  <dcterms:modified xsi:type="dcterms:W3CDTF">2026-03-22T07:34:27.324Z</dcterms:modified>
</cp:coreProperties>
</file>

<file path=docProps/custom.xml><?xml version="1.0" encoding="utf-8"?>
<Properties xmlns="http://schemas.openxmlformats.org/officeDocument/2006/custom-properties" xmlns:vt="http://schemas.openxmlformats.org/officeDocument/2006/docPropsVTypes"/>
</file>