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</w:pPr>
      <w:r>
        <w:t>Experiment 11 Shard Key Evaluation and Hotspot Detection</w:t>
      </w:r>
    </w:p>
    <w:p>
      <w:pPr>
        <w:spacing w:after="200"/>
      </w:pPr>
      <w:r>
        <w:rPr>
          <w:b/>
          <w:color w:val="17365D"/>
          <w:sz w:val="24"/>
        </w:rPr>
        <w:t>NoSQL Database using MongoDB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4608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color w:val="17365D"/>
                <w:sz w:val="18"/>
              </w:rPr>
              <w:t>Student Name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Jayansh Jain</w:t>
            </w:r>
          </w:p>
        </w:tc>
      </w:tr>
      <w:tr>
        <w:tc>
          <w:tcPr>
            <w:tcW w:type="dxa" w:w="4608"/>
            <w:vAlign w:val="center"/>
            <w:shd w:fill="D9EAF7"/>
          </w:tcPr>
          <w:p>
            <w:pPr>
              <w:spacing w:after="40"/>
            </w:pPr>
            <w:r/>
            <w:r>
              <w:rPr>
                <w:b/>
                <w:color w:val="17365D"/>
                <w:sz w:val="18"/>
              </w:rPr>
              <w:t>USN</w:t>
            </w:r>
          </w:p>
        </w:tc>
        <w:tc>
          <w:tcPr>
            <w:tcW w:type="dxa" w:w="460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24BTRCL088</w:t>
            </w:r>
          </w:p>
        </w:tc>
      </w:tr>
    </w:tbl>
    <w:p/>
    <w:p>
      <w:pPr>
        <w:pStyle w:val="Heading1"/>
      </w:pPr>
      <w:r>
        <w:t>Objective</w:t>
      </w:r>
    </w:p>
    <w:p>
      <w:r>
        <w:t>Compare shard key choices for e-commerce orders and observe how a monotonically increasing shard key differs from a hashed key in a two-shard MongoDB cluster. The evidence combines shard-level document counts and explain plans from the project demonstration.</w:t>
      </w:r>
    </w:p>
    <w:p>
      <w:pPr>
        <w:pStyle w:val="Heading1"/>
      </w:pPr>
      <w:r>
        <w:t>Environment and workload</w:t>
      </w:r>
    </w:p>
    <w:p>
      <w:r>
        <w:t>The unified Docker Compose stack runs a mongos router, a config server replica set, and two shard replica sets. The Lab 11 runner connects through mongos, creates two collections, and inserts 10,000 documents into each. This one-member-per-replica-set topology is designed for a laptop demonstration, not production high availability.</w:t>
      </w:r>
    </w:p>
    <w:p>
      <w:pPr>
        <w:pStyle w:val="Heading1"/>
      </w:pPr>
      <w:r>
        <w:t>Experiment 11.1 Candidate shard key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Candidate</w:t>
            </w:r>
          </w:p>
        </w:tc>
        <w:tc>
          <w:tcPr>
            <w:tcW w:type="dxa" w:w="2498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Cardinality and distribution</w:t>
            </w:r>
          </w:p>
        </w:tc>
        <w:tc>
          <w:tcPr>
            <w:tcW w:type="dxa" w:w="2498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Query targeting</w:t>
            </w:r>
          </w:p>
        </w:tc>
        <w:tc>
          <w:tcPr>
            <w:tcW w:type="dxa" w:w="2498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order_id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Very high cardinality; random IDs distribute well. Sequential IDs can create an upper-range write hotspot.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Order ID equality can target one shard; customer and date searches scatter.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Suitable when order lookups dominate.</w:t>
            </w:r>
          </w:p>
        </w:tc>
      </w:tr>
      <w:tr>
        <w:tc>
          <w:tcPr>
            <w:tcW w:type="dxa" w:w="2498"/>
            <w:vAlign w:val="center"/>
            <w:shd w:fill="F2F4F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customer_id ranged</w:t>
            </w:r>
          </w:p>
        </w:tc>
        <w:tc>
          <w:tcPr>
            <w:tcW w:type="dxa" w:w="2498"/>
            <w:vAlign w:val="center"/>
            <w:shd w:fill="F2F4F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High when there are many customers; activity skew can make some ranges heavier.</w:t>
            </w:r>
          </w:p>
        </w:tc>
        <w:tc>
          <w:tcPr>
            <w:tcW w:type="dxa" w:w="2498"/>
            <w:vAlign w:val="center"/>
            <w:shd w:fill="F2F4F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Customer equality targets one shard; customer ranges target relevant chunks.</w:t>
            </w:r>
          </w:p>
        </w:tc>
        <w:tc>
          <w:tcPr>
            <w:tcW w:type="dxa" w:w="2498"/>
            <w:vAlign w:val="center"/>
            <w:shd w:fill="F2F4F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Good customer-history locality, with skew risk.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order_date ranged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High across time, but monotonically rising inserts concentrate at the newest range.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Date ranges target relevant chunks.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Avoid alone for high write rates unless date locality is more important.</w:t>
            </w:r>
          </w:p>
        </w:tc>
      </w:tr>
      <w:tr>
        <w:tc>
          <w:tcPr>
            <w:tcW w:type="dxa" w:w="2498"/>
            <w:vAlign w:val="center"/>
            <w:shd w:fill="F2F4F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customer_id hashed</w:t>
            </w:r>
          </w:p>
        </w:tc>
        <w:tc>
          <w:tcPr>
            <w:tcW w:type="dxa" w:w="2498"/>
            <w:vAlign w:val="center"/>
            <w:shd w:fill="F2F4F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High; hashing spreads distinct customers across chunks. One very active customer still maps to one shard.</w:t>
            </w:r>
          </w:p>
        </w:tc>
        <w:tc>
          <w:tcPr>
            <w:tcW w:type="dxa" w:w="2498"/>
            <w:vAlign w:val="center"/>
            <w:shd w:fill="F2F4F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Customer equality targets one shard; customer/date ranges generally scatter.</w:t>
            </w:r>
          </w:p>
        </w:tc>
        <w:tc>
          <w:tcPr>
            <w:tcW w:type="dxa" w:w="2498"/>
            <w:vAlign w:val="center"/>
            <w:shd w:fill="F2F4F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Recommended when customer lookups and balanced writes dominate.</w:t>
            </w:r>
          </w:p>
        </w:tc>
      </w:tr>
    </w:tbl>
    <w:p/>
    <w:p>
      <w:pPr>
        <w:pStyle w:val="Heading1"/>
      </w:pPr>
      <w:r>
        <w:t>Recommendation</w:t>
      </w:r>
    </w:p>
    <w:p>
      <w:r>
        <w:t>Use {customer_id: "hashed"} when the main workload reads a customer’s order history and write distribution matters. Hashed keys preserve equality targeting but sacrifice useful range locality. Order ID-only lookups and date-only ranges scatter unless supported by a different index or data model. Validate the choice against real query frequency, customer skew, write rate, and expected growth.</w:t>
      </w:r>
    </w:p>
    <w:p>
      <w:pPr>
        <w:pStyle w:val="Heading1"/>
      </w:pPr>
      <w:r>
        <w:t>Experiment 11.2 Hotspot detection</w:t>
      </w:r>
    </w:p>
    <w:p>
      <w:r>
        <w:t>The script shards hotspot_data by {ts: 1} and inserts timestamps in increasing order. It shards even_data by {user_id: "hashed"} and inserts random identifiers. With only 10,000 documents, the timestamp collection remains a single chunk on one shard; all inserts therefore land on that shard. Hashed ranges split writes across shards, while a range predicate on the original user_id values cannot use hash order to narrow the target shards.</w:t>
      </w:r>
    </w:p>
    <w:p>
      <w:pPr>
        <w:pStyle w:val="Heading1"/>
      </w:pPr>
      <w:r>
        <w:t>Measured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Collection and key</w:t>
            </w:r>
          </w:p>
        </w:tc>
        <w:tc>
          <w:tcPr>
            <w:tcW w:type="dxa" w:w="2498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Observed documents by shard</w:t>
            </w:r>
          </w:p>
        </w:tc>
        <w:tc>
          <w:tcPr>
            <w:tcW w:type="dxa" w:w="2498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Data size</w:t>
            </w:r>
          </w:p>
        </w:tc>
        <w:tc>
          <w:tcPr>
            <w:tcW w:type="dxa" w:w="2498"/>
            <w:vAlign w:val="center"/>
            <w:shd w:fill="17365D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Range query targets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hotspot_data {ts: 1}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shard1RS: 10,000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2,230,000 bytes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1 shard (shard1RS)</w:t>
            </w:r>
          </w:p>
        </w:tc>
      </w:tr>
      <w:tr>
        <w:tc>
          <w:tcPr>
            <w:tcW w:type="dxa" w:w="2498"/>
            <w:vAlign w:val="center"/>
            <w:shd w:fill="F2F4F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even_data {user_id: "hashed"}</w:t>
            </w:r>
          </w:p>
        </w:tc>
        <w:tc>
          <w:tcPr>
            <w:tcW w:type="dxa" w:w="2498"/>
            <w:vAlign w:val="center"/>
            <w:shd w:fill="F2F4F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shard1RS: 4,996, shard2RS: 5,004</w:t>
            </w:r>
          </w:p>
        </w:tc>
        <w:tc>
          <w:tcPr>
            <w:tcW w:type="dxa" w:w="2498"/>
            <w:vAlign w:val="center"/>
            <w:shd w:fill="F2F4F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2,230,000 bytes</w:t>
            </w:r>
          </w:p>
        </w:tc>
        <w:tc>
          <w:tcPr>
            <w:tcW w:type="dxa" w:w="2498"/>
            <w:vAlign w:val="center"/>
            <w:shd w:fill="F2F4F7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 shards (shard1RS, shard2RS)</w:t>
            </w:r>
          </w:p>
        </w:tc>
      </w:tr>
    </w:tbl>
    <w:p/>
    <w:p>
      <w:r>
        <w:t>MongoDB version recorded: 7.0.45. The ranged timestamp query used an index scan and targeted one shard. The hashed user_id range query was scatter-gather and used a collection scan on each shard. Counts are one measured run and may vary with MongoDB version and chunk placement.</w:t>
      </w:r>
    </w:p>
    <w:p>
      <w:pPr>
        <w:pStyle w:val="Heading1"/>
      </w:pPr>
      <w:r>
        <w:t>Ranged key use cases</w:t>
      </w:r>
    </w:p>
    <w:p>
      <w:r>
        <w:t>A ranged key is still appropriate when ordered reads, range scans, or zone placement dominate and write rates do not overload one key boundary. Compound keys can preserve tenant-plus-time access patterns when their leading fields match common filters. Monitor shard write load and chunk distribution as data grows.</w:t>
      </w:r>
    </w:p>
    <w:p>
      <w:pPr>
        <w:pStyle w:val="Heading1"/>
      </w:pPr>
      <w:r>
        <w:t>MongoDB 5.0+ resharding activity</w:t>
      </w:r>
    </w:p>
    <w:p>
      <w:pPr>
        <w:pStyle w:val="ListNumber"/>
      </w:pPr>
      <w:r>
        <w:t>Review query patterns, cardinality, skew, unique indexes, and resource headroom. Resharding copies data and needs temporary CPU, I/O, storage, and oplog capacity.</w:t>
      </w:r>
    </w:p>
    <w:p>
      <w:pPr>
        <w:pStyle w:val="ListNumber"/>
      </w:pPr>
      <w:r>
        <w:t>Issue reshardCollection through mongos with the target key, for example:</w:t>
      </w:r>
    </w:p>
    <w:p>
      <w:pPr>
        <w:spacing w:after="0"/>
        <w:ind w:left="259"/>
        <w:shd w:fill="F2F4F7"/>
      </w:pPr>
      <w:r>
        <w:rPr>
          <w:rFonts w:ascii="Consolas" w:hAnsi="Consolas"/>
          <w:sz w:val="16"/>
        </w:rPr>
        <w:t>db.adminCommand({</w:t>
      </w:r>
    </w:p>
    <w:p>
      <w:pPr>
        <w:spacing w:after="0"/>
        <w:ind w:left="259"/>
        <w:shd w:fill="F2F4F7"/>
      </w:pPr>
      <w:r>
        <w:rPr>
          <w:rFonts w:ascii="Consolas" w:hAnsi="Consolas"/>
          <w:sz w:val="16"/>
        </w:rPr>
        <w:t xml:space="preserve">  reshardCollection: "lab11.orders",</w:t>
      </w:r>
    </w:p>
    <w:p>
      <w:pPr>
        <w:spacing w:after="0"/>
        <w:ind w:left="259"/>
        <w:shd w:fill="F2F4F7"/>
      </w:pPr>
      <w:r>
        <w:rPr>
          <w:rFonts w:ascii="Consolas" w:hAnsi="Consolas"/>
          <w:sz w:val="16"/>
        </w:rPr>
        <w:t xml:space="preserve">  key: { customer_id: "hashed" }</w:t>
      </w:r>
    </w:p>
    <w:p>
      <w:pPr>
        <w:spacing w:after="0"/>
        <w:ind w:left="259"/>
        <w:shd w:fill="F2F4F7"/>
      </w:pPr>
      <w:r>
        <w:rPr>
          <w:rFonts w:ascii="Consolas" w:hAnsi="Consolas"/>
          <w:sz w:val="16"/>
        </w:rPr>
        <w:t>})</w:t>
      </w:r>
    </w:p>
    <w:p>
      <w:pPr>
        <w:pStyle w:val="ListNumber"/>
      </w:pPr>
      <w:r>
        <w:t>Monitor progress with $currentOp, allow cloning and change capture to complete, and verify the new shard distribution after cutover.</w:t>
      </w:r>
    </w:p>
    <w:p>
      <w:pPr>
        <w:pStyle w:val="ListNumber"/>
      </w:pPr>
      <w:r>
        <w:t>Plan for a brief write pause during cutover. Unique index compatibility and resource requirements apply; only one collection is resharded at a time.</w:t>
      </w:r>
    </w:p>
    <w:p>
      <w:pPr>
        <w:pStyle w:val="Heading1"/>
      </w:pPr>
      <w:r>
        <w:t>Run the experiment</w:t>
      </w:r>
    </w:p>
    <w:p>
      <w:pPr>
        <w:spacing w:after="0"/>
        <w:ind w:left="259"/>
        <w:shd w:fill="F2F4F7"/>
      </w:pPr>
      <w:r>
        <w:rPr>
          <w:rFonts w:ascii="Consolas" w:hAnsi="Consolas"/>
          <w:sz w:val="16"/>
        </w:rPr>
        <w:t>docker compose up --build -d</w:t>
      </w:r>
    </w:p>
    <w:p>
      <w:pPr>
        <w:spacing w:after="0"/>
        <w:ind w:left="259"/>
        <w:shd w:fill="F2F4F7"/>
      </w:pPr>
      <w:r>
        <w:rPr>
          <w:rFonts w:ascii="Consolas" w:hAnsi="Consolas"/>
          <w:sz w:val="16"/>
        </w:rPr>
        <w:t>docker compose --profile lab11 run --rm lab11</w:t>
      </w:r>
    </w:p>
    <w:p>
      <w:pPr>
        <w:pStyle w:val="Heading1"/>
      </w:pPr>
      <w:r>
        <w:t>Conclusion</w:t>
      </w:r>
    </w:p>
    <w:p>
      <w:r>
        <w:t>The measured run demonstrates the tradeoff: a monotonically increasing range key makes date ranges targetable but concentrates new writes, while a hashed key spreads inserts and turns range reads on the original field into scatter-gather operations.</w:t>
      </w:r>
    </w:p>
    <w:p>
      <w:pPr>
        <w:pStyle w:val="Heading1"/>
      </w:pPr>
      <w:r>
        <w:t>Docker image and demonstration</w:t>
      </w:r>
    </w:p>
    <w:p>
      <w:r>
        <w:t>The combined project image is published on Docker Hub as krish1226/lab10:lab12. Pull the image with the command below. The image contains the Lab 7–12 application and exercise scripts; use the project Docker Compose file to start the MongoDB services required for this experiment.</w:t>
      </w:r>
    </w:p>
    <w:p>
      <w:r>
        <w:t xml:space="preserve">Docker Hub: </w:t>
      </w:r>
      <w:hyperlink r:id="rId10">
        <w:r>
          <w:rPr>
            <w:color w:val="0563C1"/>
            <w:u w:val="single"/>
          </w:rPr>
          <w:t>https://hub.docker.com/r/krish1226/lab10</w:t>
        </w:r>
      </w:hyperlink>
    </w:p>
    <w:p>
      <w:pPr/>
      <w:r>
        <w:rPr>
          <w:rFonts w:ascii="Consolas" w:hAnsi="Consolas"/>
          <w:color w:val="232B35"/>
          <w:sz w:val="18"/>
        </w:rPr>
        <w:t>docker pull krish1226/lab10:lab12</w:t>
      </w:r>
    </w:p>
    <w:p>
      <w:pPr/>
      <w:r>
        <w:t>Run this experiment from the project folder:</w:t>
      </w:r>
    </w:p>
    <w:p>
      <w:pPr/>
      <w:r>
        <w:rPr>
          <w:rFonts w:ascii="Consolas" w:hAnsi="Consolas"/>
          <w:sz w:val="18"/>
        </w:rPr>
        <w:t>docker compose --profile lab11 run --rm lab11</w:t>
      </w:r>
    </w:p>
    <w:p>
      <w:pPr>
        <w:pStyle w:val="Heading2"/>
      </w:pPr>
      <w:r>
        <w:t>Source and references</w:t>
      </w:r>
    </w:p>
    <w:p>
      <w:r>
        <w:t>Implementation: scripts/lab11_sharding.py. Results: docs/lab11-results.json. Lab notes: docs/lab11.md. Chapter examples: https://github.com/sujeetjagtap/NoSQL-Databases-using-MongoDB/tree/main/chapter-11</w:t>
      </w:r>
    </w:p>
    <w:sectPr w:rsidR="00FC693F" w:rsidRPr="0006063C" w:rsidSect="00034616">
      <w:footerReference w:type="default" r:id="rId9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8"/>
        <w:sz w:val="16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32B3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hub.docker.com/r/krish1226/lab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