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AMENDMENT NO. 1 TO MASTER SERVICES AGREEMENT</w:t>
      </w:r>
    </w:p>
    <w:p>
      <w:pPr>
        <w:jc w:val="center"/>
      </w:pPr>
      <w:r>
        <w:t>Ref VGI/NCS/MSA/2022-014/A1</w:t>
      </w:r>
    </w:p>
    <w:p>
      <w:r>
        <w:t>This Amendment No. 1 (the "Amendment") is dated 20 June 2023 and takes effect on 1 July 2023 (the "Amendment Effective Date"). It is made between Veridian Global Industries plc ("Veridian") and Nordhaven Cloud Solutions A/S ("Nordhaven") and amends the Master Services Agreement dated 14 March 2022 (the "MSA"). Capitalised terms have the meanings given in the MSA.</w:t>
      </w:r>
    </w:p>
    <w:p>
      <w:r>
        <w:rPr>
          <w:b/>
        </w:rPr>
        <w:t>1. Background</w:t>
      </w:r>
    </w:p>
    <w:p>
      <w:r>
        <w:t>Veridian's migration of its Asia-Pacific manufacturing execution systems to the Cloud Hosting Service requires additional compute and storage capacity. The parties have agreed to adjust the Fees and certain commercial terms and, in accordance with clause 17.2 of the MSA, to record that agreement in a signed amendment.</w:t>
      </w:r>
    </w:p>
    <w:p>
      <w:r>
        <w:rPr>
          <w:b/>
        </w:rPr>
        <w:t>2. Amendments</w:t>
      </w:r>
    </w:p>
    <w:p>
      <w:r>
        <w:t>2.1 Schedule 1, paragraph 1.1: the Monthly Fee for the Cloud Hosting Service is increased from EUR 42,000 to EUR 46,500. The Total Monthly Fees are accordingly EUR 76,000.</w:t>
      </w:r>
    </w:p>
    <w:p>
      <w:r>
        <w:t>2.2 Clause 11.2 is amended by deleting "one hundred per cent (100%)" and replacing it with "one hundred and fifty per cent (150%)".</w:t>
      </w:r>
    </w:p>
    <w:p>
      <w:r>
        <w:t>2.3 Clause 12.1 is amended by deleting "one hundred and eighty (180) days'" and replacing it with "one hundred and twenty (120) days'".</w:t>
      </w:r>
    </w:p>
    <w:p>
      <w:r>
        <w:rPr>
          <w:b/>
        </w:rPr>
        <w:t>3. General</w:t>
      </w:r>
    </w:p>
    <w:p>
      <w:r>
        <w:t>3.1 Except as expressly amended by this Amendment, the MSA continues in full force and effect. 3.2 In the event of conflict between this Amendment and the MSA, this Amendment prevails. 3.3 This Amendment is governed by the laws of England and Wales.</w:t>
      </w:r>
    </w:p>
    <w:p>
      <w:r>
        <w:t>Signed: Helena Marsh (COO), Veridian Global Industries plc  |  Signed: Søren Lindqvist (CEO), Nordhaven Cloud Solutions A/S</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