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EXECUTIVE EMPLOYMENT AGREEMENT</w:t>
      </w:r>
    </w:p>
    <w:p>
      <w:pPr>
        <w:jc w:val="center"/>
      </w:pPr>
      <w:r>
        <w:t>Veridian Global Industries plc and Dr. Anika Rao - Ref HR/EXEC/2021-017</w:t>
      </w:r>
    </w:p>
    <w:p>
      <w:r>
        <w:t>PRIVATE &amp; CONFIDENTIAL. This Agreement is dated 12 July 2021 between Veridian Global Industries plc (the "Company") and Dr. Anika Rao (the "Executive").</w:t>
      </w:r>
    </w:p>
    <w:p>
      <w:r>
        <w:rPr>
          <w:b/>
        </w:rPr>
        <w:t>1. Position and commencement</w:t>
      </w:r>
    </w:p>
    <w:p>
      <w:r>
        <w:t>The Executive is employed as Vice President, Engineering, reporting to the Chief Operating Officer, with effect from 1 September 2021 (the "Start Date"). Continuous employment begins on the Start Date. The Executive's normal place of work is the Company's London headquarters with reasonable travel and hybrid working of up to three days per week.</w:t>
      </w:r>
    </w:p>
    <w:p>
      <w:r>
        <w:rPr>
          <w:b/>
        </w:rPr>
        <w:t>2. Remuneration</w:t>
      </w:r>
    </w:p>
    <w:p>
      <w:r>
        <w:t>2.1 Base salary: GBP 185,000 per annum, paid monthly in arrears, reviewed annually without obligation to increase. 2.2 Annual bonus: target 30% of base salary subject to the Company Executive Bonus Plan, payable according to the scorecard below. 2.3 Pension: employer contribution of 10% of base salary.</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tcPr>
          <w:p>
            <w:r>
              <w:rPr>
                <w:b/>
              </w:rPr>
              <w:t>Scorecard element</w:t>
            </w:r>
          </w:p>
        </w:tc>
        <w:tc>
          <w:tcPr>
            <w:tcW w:type="dxa" w:w="1926"/>
          </w:tcPr>
          <w:p>
            <w:r>
              <w:rPr>
                <w:b/>
              </w:rPr>
              <w:t>Weight</w:t>
            </w:r>
          </w:p>
        </w:tc>
        <w:tc>
          <w:tcPr>
            <w:tcW w:type="dxa" w:w="1926"/>
          </w:tcPr>
          <w:p>
            <w:r>
              <w:rPr>
                <w:b/>
              </w:rPr>
              <w:t>Threshold (50% payout)</w:t>
            </w:r>
          </w:p>
        </w:tc>
        <w:tc>
          <w:tcPr>
            <w:tcW w:type="dxa" w:w="1926"/>
          </w:tcPr>
          <w:p>
            <w:r>
              <w:rPr>
                <w:b/>
              </w:rPr>
              <w:t>Target (100%)</w:t>
            </w:r>
          </w:p>
        </w:tc>
        <w:tc>
          <w:tcPr>
            <w:tcW w:type="dxa" w:w="1926"/>
          </w:tcPr>
          <w:p>
            <w:r>
              <w:rPr>
                <w:b/>
              </w:rPr>
              <w:t>Maximum (200%)</w:t>
            </w:r>
          </w:p>
        </w:tc>
      </w:tr>
      <w:tr>
        <w:tc>
          <w:tcPr>
            <w:tcW w:type="dxa" w:w="1926"/>
          </w:tcPr>
          <w:p>
            <w:r>
              <w:t>Group EBITDA</w:t>
            </w:r>
          </w:p>
        </w:tc>
        <w:tc>
          <w:tcPr>
            <w:tcW w:type="dxa" w:w="1926"/>
          </w:tcPr>
          <w:p>
            <w:r>
              <w:t>40%</w:t>
            </w:r>
          </w:p>
        </w:tc>
        <w:tc>
          <w:tcPr>
            <w:tcW w:type="dxa" w:w="1926"/>
          </w:tcPr>
          <w:p>
            <w:r>
              <w:t>92% of plan</w:t>
            </w:r>
          </w:p>
        </w:tc>
        <w:tc>
          <w:tcPr>
            <w:tcW w:type="dxa" w:w="1926"/>
          </w:tcPr>
          <w:p>
            <w:r>
              <w:t>100% of plan</w:t>
            </w:r>
          </w:p>
        </w:tc>
        <w:tc>
          <w:tcPr>
            <w:tcW w:type="dxa" w:w="1926"/>
          </w:tcPr>
          <w:p>
            <w:r>
              <w:t>110% of plan</w:t>
            </w:r>
          </w:p>
        </w:tc>
      </w:tr>
      <w:tr>
        <w:tc>
          <w:tcPr>
            <w:tcW w:type="dxa" w:w="1926"/>
          </w:tcPr>
          <w:p>
            <w:r>
              <w:t>Engineering delivery milestones</w:t>
            </w:r>
          </w:p>
        </w:tc>
        <w:tc>
          <w:tcPr>
            <w:tcW w:type="dxa" w:w="1926"/>
          </w:tcPr>
          <w:p>
            <w:r>
              <w:t>35%</w:t>
            </w:r>
          </w:p>
        </w:tc>
        <w:tc>
          <w:tcPr>
            <w:tcW w:type="dxa" w:w="1926"/>
          </w:tcPr>
          <w:p>
            <w:r>
              <w:t>3 of 5</w:t>
            </w:r>
          </w:p>
        </w:tc>
        <w:tc>
          <w:tcPr>
            <w:tcW w:type="dxa" w:w="1926"/>
          </w:tcPr>
          <w:p>
            <w:r>
              <w:t>4 of 5</w:t>
            </w:r>
          </w:p>
        </w:tc>
        <w:tc>
          <w:tcPr>
            <w:tcW w:type="dxa" w:w="1926"/>
          </w:tcPr>
          <w:p>
            <w:r>
              <w:t>5 of 5</w:t>
            </w:r>
          </w:p>
        </w:tc>
      </w:tr>
      <w:tr>
        <w:tc>
          <w:tcPr>
            <w:tcW w:type="dxa" w:w="1926"/>
          </w:tcPr>
          <w:p>
            <w:r>
              <w:t>Safety (TRIR)</w:t>
            </w:r>
          </w:p>
        </w:tc>
        <w:tc>
          <w:tcPr>
            <w:tcW w:type="dxa" w:w="1926"/>
          </w:tcPr>
          <w:p>
            <w:r>
              <w:t>15%</w:t>
            </w:r>
          </w:p>
        </w:tc>
        <w:tc>
          <w:tcPr>
            <w:tcW w:type="dxa" w:w="1926"/>
          </w:tcPr>
          <w:p>
            <w:r>
              <w:t>TRIR &lt;= 1.1</w:t>
            </w:r>
          </w:p>
        </w:tc>
        <w:tc>
          <w:tcPr>
            <w:tcW w:type="dxa" w:w="1926"/>
          </w:tcPr>
          <w:p>
            <w:r>
              <w:t>TRIR &lt;= 0.9</w:t>
            </w:r>
          </w:p>
        </w:tc>
        <w:tc>
          <w:tcPr>
            <w:tcW w:type="dxa" w:w="1926"/>
          </w:tcPr>
          <w:p>
            <w:r>
              <w:t>TRIR &lt;= 0.7</w:t>
            </w:r>
          </w:p>
        </w:tc>
      </w:tr>
      <w:tr>
        <w:tc>
          <w:tcPr>
            <w:tcW w:type="dxa" w:w="1926"/>
          </w:tcPr>
          <w:p>
            <w:r>
              <w:t>ESG / people</w:t>
            </w:r>
          </w:p>
        </w:tc>
        <w:tc>
          <w:tcPr>
            <w:tcW w:type="dxa" w:w="1926"/>
          </w:tcPr>
          <w:p>
            <w:r>
              <w:t>10%</w:t>
            </w:r>
          </w:p>
        </w:tc>
        <w:tc>
          <w:tcPr>
            <w:tcW w:type="dxa" w:w="1926"/>
          </w:tcPr>
          <w:p>
            <w:r>
              <w:t>Qualitative</w:t>
            </w:r>
          </w:p>
        </w:tc>
        <w:tc>
          <w:tcPr>
            <w:tcW w:type="dxa" w:w="1926"/>
          </w:tcPr>
          <w:p>
            <w:r>
              <w:t>Qualitative</w:t>
            </w:r>
          </w:p>
        </w:tc>
        <w:tc>
          <w:tcPr>
            <w:tcW w:type="dxa" w:w="1926"/>
          </w:tcPr>
          <w:p>
            <w:r>
              <w:t>Qualitative</w:t>
            </w:r>
          </w:p>
        </w:tc>
      </w:tr>
    </w:tbl>
    <w:p/>
    <w:p>
      <w:r>
        <w:rPr>
          <w:b/>
        </w:rPr>
        <w:t>3. Equity</w:t>
      </w:r>
    </w:p>
    <w:p>
      <w:r>
        <w:t>3.1 The Executive is granted 40,000 restricted stock units (RSUs) under the Veridian Long-Term Incentive Plan. 3.2 The RSUs vest at the rate of 25% on each anniversary of the Start Date, so that the first tranche vests on 1 September 2022, subject to continued employment on each vesting date. 3.3 On a termination for Cause all unvested RSUs lapse. On termination by the Company without Cause, RSUs scheduled to vest in the following six months vest pro rata.</w:t>
      </w:r>
    </w:p>
    <w:p>
      <w:r>
        <w:rPr>
          <w:b/>
        </w:rPr>
        <w:t>4. Hours, holidays</w:t>
      </w:r>
    </w:p>
    <w:p>
      <w:r>
        <w:t>30 days' paid holiday per year in addition to public holidays in England, carried over up to 5 days.</w:t>
      </w:r>
    </w:p>
    <w:p>
      <w:r>
        <w:rPr>
          <w:b/>
        </w:rPr>
        <w:t>5. Termination</w:t>
      </w:r>
    </w:p>
    <w:p>
      <w:r>
        <w:t>5.1 Either party may terminate the employment by giving the other six (6) months' written notice. 5.2 The Company may at its discretion place the Executive on garden leave for all or part of any notice period, during which salary and benefits continue but the Executive may not work for anyone else. 5.3 The Company may instead terminate with immediate effect by paying base salary in lieu of notice (PILON) for any unexpired period. 5.4 The Company may terminate without notice for Cause, including gross misconduct, material breach, fraud or conviction for a serious criminal offence.</w:t>
      </w:r>
    </w:p>
    <w:p>
      <w:r>
        <w:rPr>
          <w:b/>
        </w:rPr>
        <w:t>6. Confidentiality and intellectual property</w:t>
      </w:r>
    </w:p>
    <w:p>
      <w:r>
        <w:t>6.1 The Executive shall not use or disclose the Company's confidential information during or after employment. 6.2 All inventions and works created in the course of employment belong to the Company; the Executive shall execute any document required to perfect the Company's title.</w:t>
      </w:r>
    </w:p>
    <w:p>
      <w:r>
        <w:rPr>
          <w:b/>
        </w:rPr>
        <w:t>7. Post-termination restrictions</w:t>
      </w:r>
    </w:p>
    <w:p>
      <w:r>
        <w:t>For the following periods after termination (each reduced by any period of garden leave served): 7.1 Non-compete: twelve (12) months, the Executive shall not be engaged in a Competing Business in the EMEA region in a role similar to that held in the last 12 months; 7.2 Non-solicitation of customers: twelve (12) months; 7.3 Non-solicitation of employees: twelve (12) months. Each restriction is separate and severable.</w:t>
      </w:r>
    </w:p>
    <w:p>
      <w:r>
        <w:rPr>
          <w:b/>
        </w:rPr>
        <w:t>8. Clawback</w:t>
      </w:r>
    </w:p>
    <w:p>
      <w:r>
        <w:t>Bonus and RSU proceeds are subject to the Company's Clawback Policy for a period of 24 months after payment in cases of material misstatement or misconduct.</w:t>
      </w:r>
    </w:p>
    <w:p>
      <w:r>
        <w:rPr>
          <w:b/>
        </w:rPr>
        <w:t>9. Governing law</w:t>
      </w:r>
    </w:p>
    <w:p>
      <w:r>
        <w:t>This Agreement is governed by the laws of England and Wales and the courts of England have exclusive jurisdiction.</w:t>
      </w:r>
    </w:p>
    <w:p>
      <w:r>
        <w:br w:type="page"/>
      </w:r>
    </w:p>
    <w:p>
      <w:pPr>
        <w:jc w:val="center"/>
      </w:pPr>
      <w:r>
        <w:rPr>
          <w:b/>
          <w:sz w:val="30"/>
        </w:rPr>
        <w:t>LETTER OF VARIATION</w:t>
      </w:r>
    </w:p>
    <w:p>
      <w:pPr>
        <w:jc w:val="center"/>
      </w:pPr>
      <w:r>
        <w:t>Dated 15 March 2023 - to the Executive Employment Agreement</w:t>
      </w:r>
    </w:p>
    <w:p>
      <w:r>
        <w:t>Dear Anika, Following the 2022/23 compensation review and our discussions, we are pleased to confirm the following changes to your Executive Employment Agreement dated 12 July 2021, with effect from 1 April 2023 (the "Variation Date"):</w:t>
      </w:r>
    </w:p>
    <w:p>
      <w:r>
        <w:t>(a) Your base salary will increase from GBP 185,000 to GBP 198,000 per annum. (b) Your target annual bonus (clause 2.2) will increase from 30% to 35% of base salary. (c) The non-compete restriction in clause 7.1 is reduced from twelve (12) months to nine (9) months. The non-solicitation restrictions in clauses 7.2 and 7.3 remain at twelve (12) months. (d) All other terms remain unchanged.</w:t>
      </w:r>
    </w:p>
    <w:p>
      <w:r>
        <w:t>Please sign and return the enclosed copy to confirm your agreement. Yours sincerely, Dr. Ingrid Solheim, Chair of the Remuneration Committee. [Countersigned: A. Rao, 22 March 2023]</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